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BE" w:rsidRPr="006B1740" w:rsidRDefault="00AD75BE" w:rsidP="00AD75BE">
      <w:pPr>
        <w:pStyle w:val="ad"/>
        <w:jc w:val="center"/>
        <w:rPr>
          <w:b/>
          <w:color w:val="000000" w:themeColor="text1"/>
          <w:sz w:val="32"/>
          <w:szCs w:val="32"/>
        </w:rPr>
      </w:pPr>
    </w:p>
    <w:p w:rsidR="00AD75BE" w:rsidRPr="006B1740" w:rsidRDefault="00AD75BE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  <w:r w:rsidRPr="006B1740">
        <w:rPr>
          <w:b/>
          <w:color w:val="000000" w:themeColor="text1"/>
          <w:sz w:val="22"/>
          <w:szCs w:val="22"/>
        </w:rPr>
        <w:t>Т Е Х Н И Ч Е С К О Е   З А Д А Н И Е</w:t>
      </w:r>
    </w:p>
    <w:p w:rsidR="00AD75BE" w:rsidRPr="006E246D" w:rsidRDefault="00AD75BE" w:rsidP="00AD75BE">
      <w:pPr>
        <w:pStyle w:val="ad"/>
        <w:jc w:val="center"/>
        <w:rPr>
          <w:sz w:val="22"/>
          <w:szCs w:val="22"/>
        </w:rPr>
      </w:pPr>
      <w:r w:rsidRPr="006E246D">
        <w:rPr>
          <w:sz w:val="22"/>
          <w:szCs w:val="22"/>
        </w:rPr>
        <w:t>на поставку средств индивидуальной защиты для обеспечения работников</w:t>
      </w:r>
      <w:r w:rsidR="00E134BC" w:rsidRPr="006E246D">
        <w:rPr>
          <w:sz w:val="22"/>
          <w:szCs w:val="22"/>
        </w:rPr>
        <w:t xml:space="preserve"> </w:t>
      </w:r>
      <w:r w:rsidRPr="006E246D">
        <w:rPr>
          <w:sz w:val="22"/>
          <w:szCs w:val="22"/>
        </w:rPr>
        <w:t xml:space="preserve">Федерального государственного бюджетного учреждения </w:t>
      </w:r>
    </w:p>
    <w:p w:rsidR="00AD75BE" w:rsidRPr="006E246D" w:rsidRDefault="00AD75BE" w:rsidP="00AD75BE">
      <w:pPr>
        <w:pStyle w:val="ad"/>
        <w:jc w:val="center"/>
        <w:rPr>
          <w:sz w:val="22"/>
          <w:szCs w:val="22"/>
        </w:rPr>
      </w:pPr>
      <w:r w:rsidRPr="006E246D">
        <w:rPr>
          <w:sz w:val="22"/>
          <w:szCs w:val="22"/>
        </w:rPr>
        <w:t>«Администрация морских портов Охотского моря и Татарского пролива»</w:t>
      </w:r>
    </w:p>
    <w:p w:rsidR="00AD75BE" w:rsidRPr="006E246D" w:rsidRDefault="00AD75BE" w:rsidP="00AD75BE">
      <w:pPr>
        <w:pStyle w:val="ad"/>
        <w:jc w:val="center"/>
        <w:rPr>
          <w:sz w:val="22"/>
          <w:szCs w:val="22"/>
        </w:rPr>
      </w:pPr>
    </w:p>
    <w:p w:rsidR="00AD75BE" w:rsidRPr="006E246D" w:rsidRDefault="00AD75BE" w:rsidP="00AD75BE">
      <w:pPr>
        <w:pStyle w:val="ae"/>
        <w:numPr>
          <w:ilvl w:val="0"/>
          <w:numId w:val="5"/>
        </w:numPr>
        <w:jc w:val="center"/>
        <w:rPr>
          <w:rFonts w:ascii="Times New Roman" w:hAnsi="Times New Roman"/>
          <w:b/>
          <w:sz w:val="22"/>
          <w:szCs w:val="22"/>
        </w:rPr>
      </w:pPr>
      <w:r w:rsidRPr="006E246D">
        <w:rPr>
          <w:rFonts w:ascii="Times New Roman" w:hAnsi="Times New Roman"/>
          <w:b/>
          <w:sz w:val="22"/>
          <w:szCs w:val="22"/>
        </w:rPr>
        <w:t xml:space="preserve">Требования к </w:t>
      </w:r>
      <w:r w:rsidR="00B1497B" w:rsidRPr="006E246D">
        <w:rPr>
          <w:rFonts w:ascii="Times New Roman" w:hAnsi="Times New Roman"/>
          <w:b/>
          <w:sz w:val="22"/>
          <w:szCs w:val="22"/>
        </w:rPr>
        <w:t>поставляемому Т</w:t>
      </w:r>
      <w:r w:rsidRPr="006E246D">
        <w:rPr>
          <w:rFonts w:ascii="Times New Roman" w:hAnsi="Times New Roman"/>
          <w:b/>
          <w:sz w:val="22"/>
          <w:szCs w:val="22"/>
        </w:rPr>
        <w:t>овару</w:t>
      </w:r>
    </w:p>
    <w:p w:rsidR="00AD75BE" w:rsidRPr="006E246D" w:rsidRDefault="00AD75BE" w:rsidP="00AD75BE">
      <w:pPr>
        <w:pStyle w:val="ae"/>
        <w:ind w:firstLine="0"/>
        <w:rPr>
          <w:rFonts w:ascii="Times New Roman" w:hAnsi="Times New Roman"/>
          <w:b/>
          <w:sz w:val="22"/>
          <w:szCs w:val="22"/>
        </w:rPr>
      </w:pPr>
      <w:r w:rsidRPr="006E246D">
        <w:rPr>
          <w:rFonts w:ascii="Times New Roman" w:hAnsi="Times New Roman"/>
          <w:b/>
          <w:sz w:val="22"/>
          <w:szCs w:val="22"/>
        </w:rPr>
        <w:t xml:space="preserve">            </w:t>
      </w:r>
    </w:p>
    <w:p w:rsidR="00AD75BE" w:rsidRPr="006E246D" w:rsidRDefault="00AD75BE" w:rsidP="00E134BC">
      <w:pPr>
        <w:pStyle w:val="ae"/>
        <w:ind w:firstLine="709"/>
        <w:rPr>
          <w:rFonts w:ascii="Times New Roman" w:hAnsi="Times New Roman"/>
          <w:sz w:val="22"/>
          <w:szCs w:val="22"/>
        </w:rPr>
      </w:pPr>
      <w:r w:rsidRPr="006E246D">
        <w:rPr>
          <w:rFonts w:ascii="Times New Roman" w:hAnsi="Times New Roman"/>
          <w:sz w:val="22"/>
          <w:szCs w:val="22"/>
        </w:rPr>
        <w:t xml:space="preserve">Товар: средства индивидуальной защиты согласно </w:t>
      </w:r>
      <w:r w:rsidR="004E1B60" w:rsidRPr="006E246D">
        <w:rPr>
          <w:rFonts w:ascii="Times New Roman" w:hAnsi="Times New Roman"/>
          <w:sz w:val="22"/>
          <w:szCs w:val="22"/>
        </w:rPr>
        <w:t>Характеристикам</w:t>
      </w:r>
      <w:r w:rsidR="00464599" w:rsidRPr="006E246D">
        <w:rPr>
          <w:rFonts w:ascii="Times New Roman" w:hAnsi="Times New Roman"/>
          <w:sz w:val="22"/>
          <w:szCs w:val="22"/>
        </w:rPr>
        <w:t xml:space="preserve"> </w:t>
      </w:r>
      <w:r w:rsidR="00B1497B" w:rsidRPr="006E246D">
        <w:rPr>
          <w:rFonts w:ascii="Times New Roman" w:hAnsi="Times New Roman"/>
          <w:sz w:val="22"/>
          <w:szCs w:val="22"/>
        </w:rPr>
        <w:t>Т</w:t>
      </w:r>
      <w:r w:rsidR="00464599" w:rsidRPr="006E246D">
        <w:rPr>
          <w:rFonts w:ascii="Times New Roman" w:hAnsi="Times New Roman"/>
          <w:sz w:val="22"/>
          <w:szCs w:val="22"/>
        </w:rPr>
        <w:t>овара</w:t>
      </w:r>
      <w:r w:rsidRPr="006E246D">
        <w:rPr>
          <w:rFonts w:ascii="Times New Roman" w:hAnsi="Times New Roman"/>
          <w:sz w:val="22"/>
          <w:szCs w:val="22"/>
        </w:rPr>
        <w:t xml:space="preserve"> (Раздел 2).</w:t>
      </w:r>
    </w:p>
    <w:p w:rsidR="00AD75BE" w:rsidRPr="006E246D" w:rsidRDefault="00AD75BE" w:rsidP="00E134BC">
      <w:pPr>
        <w:pStyle w:val="ae"/>
        <w:ind w:firstLine="709"/>
        <w:rPr>
          <w:rFonts w:ascii="Times New Roman" w:hAnsi="Times New Roman"/>
          <w:sz w:val="22"/>
          <w:szCs w:val="22"/>
        </w:rPr>
      </w:pPr>
      <w:r w:rsidRPr="006E246D">
        <w:rPr>
          <w:rFonts w:ascii="Times New Roman" w:hAnsi="Times New Roman"/>
          <w:sz w:val="22"/>
          <w:szCs w:val="22"/>
        </w:rPr>
        <w:t>Место доставки: поставка Товара осуществляется за счет средств Поставщика по адресу 682860, п.</w:t>
      </w:r>
      <w:r w:rsidR="001B6195" w:rsidRPr="006E246D">
        <w:rPr>
          <w:rFonts w:ascii="Times New Roman" w:hAnsi="Times New Roman"/>
          <w:sz w:val="22"/>
          <w:szCs w:val="22"/>
        </w:rPr>
        <w:t xml:space="preserve"> </w:t>
      </w:r>
      <w:r w:rsidRPr="006E246D">
        <w:rPr>
          <w:rFonts w:ascii="Times New Roman" w:hAnsi="Times New Roman"/>
          <w:sz w:val="22"/>
          <w:szCs w:val="22"/>
        </w:rPr>
        <w:t>Ванино, Хабаровский край, ул. Железнодорожная, д.2.</w:t>
      </w:r>
    </w:p>
    <w:p w:rsidR="00AD75BE" w:rsidRPr="006E246D" w:rsidRDefault="00AD75BE" w:rsidP="00E134BC">
      <w:pPr>
        <w:pStyle w:val="ab"/>
        <w:ind w:left="0" w:firstLine="708"/>
        <w:rPr>
          <w:sz w:val="22"/>
          <w:szCs w:val="22"/>
        </w:rPr>
      </w:pPr>
      <w:r w:rsidRPr="006E246D">
        <w:rPr>
          <w:bCs/>
          <w:sz w:val="22"/>
          <w:szCs w:val="22"/>
        </w:rPr>
        <w:t xml:space="preserve">Срок поставки: </w:t>
      </w:r>
      <w:r w:rsidRPr="006E246D">
        <w:rPr>
          <w:sz w:val="22"/>
          <w:szCs w:val="22"/>
        </w:rPr>
        <w:t xml:space="preserve">Поставщик обязуется передать Товар Заказчику в течение </w:t>
      </w:r>
      <w:r w:rsidR="006A1F8B" w:rsidRPr="006E246D">
        <w:rPr>
          <w:sz w:val="22"/>
          <w:szCs w:val="22"/>
        </w:rPr>
        <w:t>1</w:t>
      </w:r>
      <w:r w:rsidR="00AE4FA9">
        <w:rPr>
          <w:sz w:val="22"/>
          <w:szCs w:val="22"/>
        </w:rPr>
        <w:t>4</w:t>
      </w:r>
      <w:r w:rsidRPr="006E246D">
        <w:rPr>
          <w:sz w:val="22"/>
          <w:szCs w:val="22"/>
        </w:rPr>
        <w:t xml:space="preserve"> </w:t>
      </w:r>
      <w:r w:rsidR="001B6195" w:rsidRPr="006E246D">
        <w:rPr>
          <w:sz w:val="22"/>
          <w:szCs w:val="22"/>
        </w:rPr>
        <w:t>(</w:t>
      </w:r>
      <w:r w:rsidR="00AE4FA9">
        <w:rPr>
          <w:sz w:val="22"/>
          <w:szCs w:val="22"/>
        </w:rPr>
        <w:t>четырнадцати</w:t>
      </w:r>
      <w:r w:rsidR="001B6195" w:rsidRPr="006E246D">
        <w:rPr>
          <w:sz w:val="22"/>
          <w:szCs w:val="22"/>
        </w:rPr>
        <w:t xml:space="preserve">) </w:t>
      </w:r>
      <w:r w:rsidR="00AE4FA9">
        <w:rPr>
          <w:sz w:val="22"/>
          <w:szCs w:val="22"/>
        </w:rPr>
        <w:t>рабочих</w:t>
      </w:r>
      <w:r w:rsidRPr="006E246D">
        <w:rPr>
          <w:sz w:val="22"/>
          <w:szCs w:val="22"/>
        </w:rPr>
        <w:t xml:space="preserve"> дней с момента заключения </w:t>
      </w:r>
      <w:r w:rsidR="00BA0998" w:rsidRPr="006E246D">
        <w:rPr>
          <w:sz w:val="22"/>
          <w:szCs w:val="22"/>
        </w:rPr>
        <w:t>Д</w:t>
      </w:r>
      <w:r w:rsidRPr="006E246D">
        <w:rPr>
          <w:sz w:val="22"/>
          <w:szCs w:val="22"/>
        </w:rPr>
        <w:t>оговора.</w:t>
      </w:r>
    </w:p>
    <w:p w:rsidR="00AD75BE" w:rsidRPr="006B1740" w:rsidRDefault="00AD75BE" w:rsidP="00AD75BE">
      <w:pPr>
        <w:pStyle w:val="ad"/>
        <w:ind w:firstLine="708"/>
        <w:jc w:val="both"/>
        <w:rPr>
          <w:color w:val="000000" w:themeColor="text1"/>
          <w:sz w:val="22"/>
          <w:szCs w:val="22"/>
        </w:rPr>
      </w:pPr>
      <w:r w:rsidRPr="006B1740">
        <w:rPr>
          <w:color w:val="000000" w:themeColor="text1"/>
          <w:sz w:val="22"/>
          <w:szCs w:val="22"/>
        </w:rPr>
        <w:t xml:space="preserve">Требования к функциональным </w:t>
      </w:r>
      <w:r w:rsidR="00B1497B" w:rsidRPr="006B1740">
        <w:rPr>
          <w:color w:val="000000" w:themeColor="text1"/>
          <w:sz w:val="22"/>
          <w:szCs w:val="22"/>
        </w:rPr>
        <w:t>и качественным характеристикам Т</w:t>
      </w:r>
      <w:r w:rsidRPr="006B1740">
        <w:rPr>
          <w:color w:val="000000" w:themeColor="text1"/>
          <w:sz w:val="22"/>
          <w:szCs w:val="22"/>
        </w:rPr>
        <w:t xml:space="preserve">овара: поставляемый Товар должен быть новым, ранее не использованным и не восстановленным. Качество Товара должно соответствовать ГОСТам, </w:t>
      </w:r>
      <w:r w:rsidRPr="006B1740">
        <w:rPr>
          <w:bCs/>
          <w:color w:val="000000" w:themeColor="text1"/>
          <w:sz w:val="22"/>
          <w:szCs w:val="22"/>
        </w:rPr>
        <w:t xml:space="preserve">требованиям экологической безопасности, санитарным нормам, </w:t>
      </w:r>
      <w:r w:rsidRPr="006B1740">
        <w:rPr>
          <w:color w:val="000000" w:themeColor="text1"/>
          <w:sz w:val="22"/>
          <w:szCs w:val="22"/>
        </w:rPr>
        <w:t>техническим условиям, техническим описаниям и другой нормативно-технической документации закрепляющей требования к качеству соответствующего вида Товара. Поставляемый Товар должен иметь комплект соответствующих документов: копия сертификата, инструкция (памятка) на русском языке и иные документы, предоставляемые при поставке соответствующего вида Товара.</w:t>
      </w:r>
    </w:p>
    <w:p w:rsidR="00AD75BE" w:rsidRPr="006B1740" w:rsidRDefault="00AD75BE" w:rsidP="00AD75BE">
      <w:pPr>
        <w:pStyle w:val="ad"/>
        <w:ind w:firstLine="708"/>
        <w:jc w:val="both"/>
        <w:rPr>
          <w:color w:val="000000" w:themeColor="text1"/>
          <w:sz w:val="22"/>
          <w:szCs w:val="22"/>
        </w:rPr>
      </w:pPr>
      <w:r w:rsidRPr="006B1740">
        <w:rPr>
          <w:color w:val="000000" w:themeColor="text1"/>
          <w:sz w:val="22"/>
          <w:szCs w:val="22"/>
        </w:rPr>
        <w:t xml:space="preserve">Требования к безопасности </w:t>
      </w:r>
      <w:r w:rsidR="00426DE3" w:rsidRPr="006B1740">
        <w:rPr>
          <w:color w:val="000000" w:themeColor="text1"/>
          <w:sz w:val="22"/>
          <w:szCs w:val="22"/>
        </w:rPr>
        <w:t>Т</w:t>
      </w:r>
      <w:r w:rsidRPr="006B1740">
        <w:rPr>
          <w:color w:val="000000" w:themeColor="text1"/>
          <w:sz w:val="22"/>
          <w:szCs w:val="22"/>
        </w:rPr>
        <w:t>овара: безопасность поставляемого Товара должна быть обеспечена посредством выполнения требований нормативно-технической документации, регламентирующей условия производства, хранения и использования Товара.</w:t>
      </w:r>
    </w:p>
    <w:p w:rsidR="00AD75BE" w:rsidRPr="006B1740" w:rsidRDefault="00426DE3" w:rsidP="00AD75BE">
      <w:pPr>
        <w:pStyle w:val="ad"/>
        <w:ind w:firstLine="708"/>
        <w:jc w:val="both"/>
        <w:rPr>
          <w:color w:val="000000" w:themeColor="text1"/>
          <w:sz w:val="22"/>
          <w:szCs w:val="22"/>
        </w:rPr>
      </w:pPr>
      <w:r w:rsidRPr="006B1740">
        <w:rPr>
          <w:iCs/>
          <w:color w:val="000000" w:themeColor="text1"/>
          <w:sz w:val="22"/>
          <w:szCs w:val="22"/>
        </w:rPr>
        <w:t>Требования к таре и упаковке Т</w:t>
      </w:r>
      <w:r w:rsidR="00AD75BE" w:rsidRPr="006B1740">
        <w:rPr>
          <w:iCs/>
          <w:color w:val="000000" w:themeColor="text1"/>
          <w:sz w:val="22"/>
          <w:szCs w:val="22"/>
        </w:rPr>
        <w:t xml:space="preserve">овара: </w:t>
      </w:r>
      <w:r w:rsidR="00AD75BE" w:rsidRPr="006B1740">
        <w:rPr>
          <w:color w:val="000000" w:themeColor="text1"/>
          <w:sz w:val="22"/>
          <w:szCs w:val="22"/>
        </w:rPr>
        <w:t>п</w:t>
      </w:r>
      <w:r w:rsidR="00AD75BE" w:rsidRPr="006B1740">
        <w:rPr>
          <w:bCs/>
          <w:color w:val="000000" w:themeColor="text1"/>
          <w:sz w:val="22"/>
          <w:szCs w:val="22"/>
        </w:rPr>
        <w:t xml:space="preserve">оставляемый Товар должен иметь </w:t>
      </w:r>
      <w:r w:rsidR="00AD75BE" w:rsidRPr="006B1740">
        <w:rPr>
          <w:color w:val="000000" w:themeColor="text1"/>
          <w:sz w:val="22"/>
          <w:szCs w:val="22"/>
        </w:rPr>
        <w:t xml:space="preserve">целостную упаковку, </w:t>
      </w:r>
      <w:r w:rsidR="00AD75BE" w:rsidRPr="006B1740">
        <w:rPr>
          <w:noProof/>
          <w:color w:val="000000" w:themeColor="text1"/>
          <w:sz w:val="22"/>
          <w:szCs w:val="22"/>
        </w:rPr>
        <w:t>обеспечивающую  его полную  сохранность, предотвращающую от повреждений при транспортировке всеми видами транспорта, а также предохраняющую от атмосферных влияний</w:t>
      </w:r>
      <w:r w:rsidR="00AD75BE" w:rsidRPr="006B1740">
        <w:rPr>
          <w:color w:val="000000" w:themeColor="text1"/>
          <w:sz w:val="22"/>
          <w:szCs w:val="22"/>
        </w:rPr>
        <w:t>. Т</w:t>
      </w:r>
      <w:r w:rsidR="00AD75BE" w:rsidRPr="006B1740">
        <w:rPr>
          <w:noProof/>
          <w:color w:val="000000" w:themeColor="text1"/>
          <w:sz w:val="22"/>
          <w:szCs w:val="22"/>
        </w:rPr>
        <w:t xml:space="preserve">овар должен быть упакован и замаркирован в соответствии с </w:t>
      </w:r>
      <w:r w:rsidR="00AD75BE" w:rsidRPr="006B1740">
        <w:rPr>
          <w:color w:val="000000" w:themeColor="text1"/>
          <w:sz w:val="22"/>
          <w:szCs w:val="22"/>
        </w:rPr>
        <w:t xml:space="preserve">требованиями ГОСТ, </w:t>
      </w:r>
      <w:r w:rsidR="00AD75BE" w:rsidRPr="006B1740">
        <w:rPr>
          <w:noProof/>
          <w:color w:val="000000" w:themeColor="text1"/>
          <w:sz w:val="22"/>
          <w:szCs w:val="22"/>
        </w:rPr>
        <w:t>действующих стандартов, технических условий</w:t>
      </w:r>
      <w:r w:rsidR="00AD75BE" w:rsidRPr="006B1740">
        <w:rPr>
          <w:color w:val="000000" w:themeColor="text1"/>
          <w:sz w:val="22"/>
          <w:szCs w:val="22"/>
        </w:rPr>
        <w:t xml:space="preserve"> для соответствующего вида продукции.</w:t>
      </w:r>
    </w:p>
    <w:p w:rsidR="00AD75BE" w:rsidRPr="006B1740" w:rsidRDefault="00AD75BE" w:rsidP="00AD75BE">
      <w:pPr>
        <w:pStyle w:val="ad"/>
        <w:ind w:firstLine="708"/>
        <w:jc w:val="both"/>
        <w:rPr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d"/>
        <w:rPr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216A7D" w:rsidRDefault="00216A7D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502763" w:rsidRDefault="00502763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502763" w:rsidRDefault="00502763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502763" w:rsidRDefault="00502763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502763" w:rsidRDefault="00502763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502763" w:rsidRDefault="00502763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</w:p>
    <w:p w:rsidR="00502763" w:rsidRPr="006B1740" w:rsidRDefault="00502763" w:rsidP="00AD75BE">
      <w:pPr>
        <w:pStyle w:val="ad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AD75BE" w:rsidRPr="006B1740" w:rsidRDefault="00AD75BE" w:rsidP="00AD75BE">
      <w:pPr>
        <w:pStyle w:val="ad"/>
        <w:jc w:val="center"/>
        <w:rPr>
          <w:color w:val="000000" w:themeColor="text1"/>
          <w:sz w:val="22"/>
          <w:szCs w:val="22"/>
        </w:rPr>
      </w:pPr>
      <w:r w:rsidRPr="006B1740">
        <w:rPr>
          <w:b/>
          <w:color w:val="000000" w:themeColor="text1"/>
          <w:sz w:val="22"/>
          <w:szCs w:val="22"/>
        </w:rPr>
        <w:lastRenderedPageBreak/>
        <w:t xml:space="preserve">2. </w:t>
      </w:r>
      <w:r w:rsidR="007D2A18" w:rsidRPr="006B1740">
        <w:rPr>
          <w:b/>
          <w:color w:val="000000" w:themeColor="text1"/>
          <w:sz w:val="22"/>
          <w:szCs w:val="22"/>
        </w:rPr>
        <w:t>Характеристики Т</w:t>
      </w:r>
      <w:r w:rsidR="00464599" w:rsidRPr="006B1740">
        <w:rPr>
          <w:b/>
          <w:color w:val="000000" w:themeColor="text1"/>
          <w:sz w:val="22"/>
          <w:szCs w:val="22"/>
        </w:rPr>
        <w:t>овара</w:t>
      </w:r>
    </w:p>
    <w:p w:rsidR="00AD75BE" w:rsidRPr="006B1740" w:rsidRDefault="00AD75BE" w:rsidP="00AD75BE">
      <w:pPr>
        <w:pStyle w:val="ad"/>
        <w:jc w:val="both"/>
        <w:rPr>
          <w:color w:val="000000" w:themeColor="text1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48"/>
        <w:gridCol w:w="3828"/>
        <w:gridCol w:w="1559"/>
      </w:tblGrid>
      <w:tr w:rsidR="008C29EC" w:rsidRPr="008C29EC" w:rsidTr="006A1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BE" w:rsidRPr="006E246D" w:rsidRDefault="00AD75BE" w:rsidP="00F64A60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E246D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BE" w:rsidRPr="006E246D" w:rsidRDefault="00AD75BE" w:rsidP="00AB5D7F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E246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BE" w:rsidRPr="006E246D" w:rsidRDefault="00AD75BE" w:rsidP="00F64A60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E246D">
              <w:rPr>
                <w:b/>
                <w:sz w:val="22"/>
                <w:szCs w:val="22"/>
              </w:rPr>
              <w:t xml:space="preserve">Образец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BE" w:rsidRPr="006E246D" w:rsidRDefault="00AD75BE" w:rsidP="00216A7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6E246D">
              <w:rPr>
                <w:b/>
                <w:sz w:val="22"/>
                <w:szCs w:val="22"/>
              </w:rPr>
              <w:t>Кол-во</w:t>
            </w:r>
          </w:p>
        </w:tc>
      </w:tr>
      <w:tr w:rsidR="008C29EC" w:rsidRPr="008C29EC" w:rsidTr="006A1F8B">
        <w:trPr>
          <w:trHeight w:val="8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6E246D" w:rsidRDefault="00AD75BE" w:rsidP="00F64A60">
            <w:pPr>
              <w:pStyle w:val="ad"/>
              <w:jc w:val="center"/>
              <w:rPr>
                <w:sz w:val="24"/>
                <w:szCs w:val="24"/>
              </w:rPr>
            </w:pPr>
          </w:p>
          <w:p w:rsidR="00AD75BE" w:rsidRPr="006E246D" w:rsidRDefault="00AD75BE" w:rsidP="00F64A60">
            <w:pPr>
              <w:pStyle w:val="ad"/>
              <w:jc w:val="center"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8B" w:rsidRPr="006E246D" w:rsidRDefault="006A1F8B" w:rsidP="006A1F8B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6E246D">
              <w:rPr>
                <w:b/>
                <w:bCs/>
                <w:kern w:val="36"/>
                <w:sz w:val="24"/>
                <w:szCs w:val="24"/>
              </w:rPr>
              <w:t>Гражданский противогаз ГП-7Б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Противогаз гражданский должен быть предназначен для защиты органов дыхания, глаз и кожи лица человека от аварийно химически опасных веществ (АХОВ); боевых токсических химических веществ (БТХВ); радиоактивных веществ, пыли (РВ, РП); биологических аэрозолей (БА) и низкокипящих органических малосорбирующихся веществ.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Противогаз гражданский должен обеспечивать: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защиту органов дыхания, глаз и кожи лица человека от действия АХОВ, БТХВ, РВ, РП, БА и низкокипящих органических малосорбирующихся веществ;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возможность приема и передачи звуковой информации голосом или с помощью технических средств;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adjustRightInd/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легкость надевания на пострадавшего человека.</w:t>
            </w:r>
          </w:p>
          <w:p w:rsidR="006A1F8B" w:rsidRPr="006E246D" w:rsidRDefault="006A1F8B" w:rsidP="006A1F8B">
            <w:pPr>
              <w:pStyle w:val="txt"/>
              <w:spacing w:line="276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E246D">
              <w:rPr>
                <w:rFonts w:ascii="Times New Roman" w:hAnsi="Times New Roman" w:cs="Times New Roman"/>
                <w:color w:val="auto"/>
                <w:sz w:val="24"/>
              </w:rPr>
              <w:t>В состав противогаза гражданского должны входить: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7"/>
              </w:numPr>
              <w:tabs>
                <w:tab w:val="clear" w:pos="1429"/>
                <w:tab w:val="left" w:pos="851"/>
              </w:tabs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лицевая часть – 1 штука;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7"/>
              </w:numPr>
              <w:tabs>
                <w:tab w:val="clear" w:pos="1429"/>
                <w:tab w:val="left" w:pos="851"/>
              </w:tabs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коробка фильтрующе-поглощающая (КФП) – 1 штука;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7"/>
              </w:numPr>
              <w:tabs>
                <w:tab w:val="clear" w:pos="1429"/>
                <w:tab w:val="left" w:pos="851"/>
              </w:tabs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 xml:space="preserve">средство против запотевания стекол очкового узла (пленки или гель) – 1 комплект;  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7"/>
              </w:numPr>
              <w:tabs>
                <w:tab w:val="clear" w:pos="1429"/>
                <w:tab w:val="left" w:pos="851"/>
              </w:tabs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сумка для ношения и хранения противогаза гражданского – 1 штука;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7"/>
              </w:numPr>
              <w:tabs>
                <w:tab w:val="clear" w:pos="1429"/>
                <w:tab w:val="left" w:pos="851"/>
              </w:tabs>
              <w:autoSpaceDE/>
              <w:autoSpaceDN/>
              <w:adjustRightInd/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руководство по эксплуатации – 1 экземпляр на 1 упаковочное место;</w:t>
            </w:r>
          </w:p>
          <w:p w:rsidR="006A1F8B" w:rsidRPr="006E246D" w:rsidRDefault="006A1F8B" w:rsidP="006A1F8B">
            <w:pPr>
              <w:widowControl/>
              <w:numPr>
                <w:ilvl w:val="0"/>
                <w:numId w:val="7"/>
              </w:numPr>
              <w:tabs>
                <w:tab w:val="clear" w:pos="1429"/>
                <w:tab w:val="left" w:pos="851"/>
              </w:tabs>
              <w:autoSpaceDE/>
              <w:autoSpaceDN/>
              <w:adjustRightInd/>
              <w:spacing w:line="276" w:lineRule="auto"/>
              <w:ind w:left="851" w:right="140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паспорт на изделие  – 1 экземпляр на партию.</w:t>
            </w:r>
          </w:p>
          <w:p w:rsidR="006A1F8B" w:rsidRPr="006E246D" w:rsidRDefault="006A1F8B" w:rsidP="006A1F8B">
            <w:pPr>
              <w:pStyle w:val="txt"/>
              <w:spacing w:line="276" w:lineRule="auto"/>
              <w:ind w:right="140" w:firstLine="28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6E246D">
              <w:rPr>
                <w:rFonts w:ascii="Times New Roman" w:hAnsi="Times New Roman" w:cs="Times New Roman"/>
                <w:color w:val="auto"/>
                <w:sz w:val="24"/>
              </w:rPr>
              <w:t>Основные технические характеристики противогаза гражданского:</w:t>
            </w:r>
          </w:p>
          <w:tbl>
            <w:tblPr>
              <w:tblW w:w="9927" w:type="dxa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"/>
              <w:gridCol w:w="4519"/>
              <w:gridCol w:w="851"/>
              <w:gridCol w:w="1134"/>
              <w:gridCol w:w="2889"/>
            </w:tblGrid>
            <w:tr w:rsidR="006E246D" w:rsidRPr="006E246D" w:rsidTr="00C26257"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246D">
                    <w:rPr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519" w:type="dxa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246D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snapToGrid w:val="0"/>
                    <w:ind w:left="-91" w:right="-74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246D">
                    <w:rPr>
                      <w:b/>
                      <w:bCs/>
                      <w:sz w:val="22"/>
                      <w:szCs w:val="22"/>
                    </w:rPr>
                    <w:t>Значение показателя</w:t>
                  </w:r>
                </w:p>
              </w:tc>
            </w:tr>
            <w:tr w:rsidR="006E246D" w:rsidRPr="006E246D" w:rsidTr="00C26257"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  <w:vAlign w:val="center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Коэффициент подсоса в подмасочное пространстве, %, не более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1,0·10</w:t>
                  </w:r>
                  <w:r w:rsidRPr="006E246D">
                    <w:rPr>
                      <w:sz w:val="22"/>
                      <w:szCs w:val="22"/>
                      <w:vertAlign w:val="superscript"/>
                    </w:rPr>
                    <w:t>-4</w:t>
                  </w:r>
                </w:p>
              </w:tc>
            </w:tr>
            <w:tr w:rsidR="006E246D" w:rsidRPr="006E246D" w:rsidTr="00C26257"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  <w:vAlign w:val="center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Коэффициент проницаемости КФП по СМТ, %, не более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6E246D">
                    <w:rPr>
                      <w:sz w:val="22"/>
                      <w:szCs w:val="22"/>
                    </w:rPr>
                    <w:t>1,0·10</w:t>
                  </w:r>
                  <w:r w:rsidRPr="006E246D">
                    <w:rPr>
                      <w:sz w:val="22"/>
                      <w:szCs w:val="22"/>
                      <w:vertAlign w:val="superscript"/>
                    </w:rPr>
                    <w:t>-3</w:t>
                  </w:r>
                </w:p>
              </w:tc>
            </w:tr>
            <w:tr w:rsidR="006E246D" w:rsidRPr="006E246D" w:rsidTr="00C26257"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  <w:vAlign w:val="center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Содержание диоксида углерода во вдыхаемом воздухе, % об., не более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6E246D" w:rsidRPr="006E246D" w:rsidTr="00C26257"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  <w:vAlign w:val="center"/>
                </w:tcPr>
                <w:p w:rsidR="006A1F8B" w:rsidRPr="006E246D" w:rsidRDefault="006A1F8B" w:rsidP="006A1F8B">
                  <w:pPr>
                    <w:snapToGrid w:val="0"/>
                    <w:ind w:right="-105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 xml:space="preserve">Начальное сопротивление постоянному потоку воздуха на вдохе </w:t>
                  </w:r>
                </w:p>
                <w:p w:rsidR="006A1F8B" w:rsidRPr="006E246D" w:rsidRDefault="006A1F8B" w:rsidP="006A1F8B">
                  <w:pPr>
                    <w:snapToGrid w:val="0"/>
                    <w:ind w:right="-105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при 30 дм</w:t>
                  </w:r>
                  <w:r w:rsidRPr="006E246D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6E246D">
                    <w:rPr>
                      <w:sz w:val="22"/>
                      <w:szCs w:val="22"/>
                    </w:rPr>
                    <w:t>/мин, Па, не более:</w:t>
                  </w:r>
                </w:p>
                <w:p w:rsidR="006A1F8B" w:rsidRPr="006E246D" w:rsidRDefault="006A1F8B" w:rsidP="006A1F8B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 xml:space="preserve">коробка фильтрующе-поглощающая </w:t>
                  </w:r>
                </w:p>
                <w:p w:rsidR="006A1F8B" w:rsidRPr="006E246D" w:rsidRDefault="006A1F8B" w:rsidP="006A1F8B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lastRenderedPageBreak/>
                    <w:t xml:space="preserve">лицевой части 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6A1F8B" w:rsidRPr="006E246D" w:rsidRDefault="006A1F8B" w:rsidP="006A1F8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A1F8B" w:rsidRPr="006E246D" w:rsidRDefault="006A1F8B" w:rsidP="006A1F8B">
                  <w:pPr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200,0</w:t>
                  </w:r>
                </w:p>
                <w:p w:rsidR="006A1F8B" w:rsidRPr="006E246D" w:rsidRDefault="006A1F8B" w:rsidP="006A1F8B">
                  <w:pPr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6E246D" w:rsidRPr="006E246D" w:rsidTr="00550E2E">
              <w:trPr>
                <w:trHeight w:val="586"/>
              </w:trPr>
              <w:tc>
                <w:tcPr>
                  <w:tcW w:w="534" w:type="dxa"/>
                  <w:vMerge w:val="restart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93" w:type="dxa"/>
                  <w:gridSpan w:val="4"/>
                  <w:vAlign w:val="center"/>
                </w:tcPr>
                <w:p w:rsidR="006A1F8B" w:rsidRPr="006E246D" w:rsidRDefault="006A1F8B" w:rsidP="006A1F8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Время защитного действия КФП, при воздействующих концентрациях 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 xml:space="preserve">) </w:t>
                  </w:r>
                </w:p>
                <w:p w:rsidR="006A1F8B" w:rsidRPr="006E246D" w:rsidRDefault="006A1F8B" w:rsidP="006A1F8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веществ (мг/дм</w:t>
                  </w:r>
                  <w:r w:rsidRPr="006E246D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6E246D">
                    <w:rPr>
                      <w:sz w:val="22"/>
                      <w:szCs w:val="22"/>
                    </w:rPr>
                    <w:t>), мин, не менее:</w:t>
                  </w:r>
                </w:p>
              </w:tc>
            </w:tr>
            <w:tr w:rsidR="006E246D" w:rsidRPr="006E246D" w:rsidTr="00C26257">
              <w:trPr>
                <w:trHeight w:val="100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хлорциану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=5,0)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</w:tr>
            <w:tr w:rsidR="006E246D" w:rsidRPr="006E246D" w:rsidTr="00C26257">
              <w:trPr>
                <w:trHeight w:val="100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синильной кислоте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108" w:right="-123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(С</w:t>
                  </w:r>
                  <w:r w:rsidRPr="006E246D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  <w:r w:rsidRPr="006E246D">
                    <w:rPr>
                      <w:rFonts w:ascii="Times New Roman" w:hAnsi="Times New Roman" w:cs="Times New Roman"/>
                    </w:rPr>
                    <w:t>=5,0)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</w:tr>
            <w:tr w:rsidR="006E246D" w:rsidRPr="006E246D" w:rsidTr="00C26257">
              <w:trPr>
                <w:trHeight w:val="290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  <w:shd w:val="clear" w:color="auto" w:fill="auto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по 2,2-дихлордиэтилсульфиду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108" w:right="-123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(С</w:t>
                  </w:r>
                  <w:r w:rsidRPr="006E246D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  <w:r w:rsidRPr="006E246D">
                    <w:rPr>
                      <w:rFonts w:ascii="Times New Roman" w:hAnsi="Times New Roman" w:cs="Times New Roman"/>
                    </w:rPr>
                    <w:t>=0,05)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780</w:t>
                  </w:r>
                </w:p>
              </w:tc>
            </w:tr>
            <w:tr w:rsidR="006E246D" w:rsidRPr="006E246D" w:rsidTr="00C26257">
              <w:trPr>
                <w:trHeight w:val="50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  <w:shd w:val="clear" w:color="auto" w:fill="auto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декану (аналог ФОВ)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108" w:right="-123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(С</w:t>
                  </w:r>
                  <w:r w:rsidRPr="006E246D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  <w:r w:rsidRPr="006E246D">
                    <w:rPr>
                      <w:rFonts w:ascii="Times New Roman" w:hAnsi="Times New Roman" w:cs="Times New Roman"/>
                    </w:rPr>
                    <w:t>=0,05)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1600</w:t>
                  </w:r>
                </w:p>
              </w:tc>
            </w:tr>
            <w:tr w:rsidR="006E246D" w:rsidRPr="006E246D" w:rsidTr="00C26257">
              <w:trPr>
                <w:trHeight w:val="145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хлору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=3,0)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</w:tr>
            <w:tr w:rsidR="006E246D" w:rsidRPr="006E246D" w:rsidTr="00C26257">
              <w:trPr>
                <w:trHeight w:val="152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аммиаку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=0,7)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6E246D" w:rsidRPr="006E246D" w:rsidTr="00C26257">
              <w:trPr>
                <w:trHeight w:val="181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циклогексану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=3,5)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70</w:t>
                  </w:r>
                </w:p>
              </w:tc>
            </w:tr>
            <w:tr w:rsidR="006E246D" w:rsidRPr="006E246D" w:rsidTr="00C26257">
              <w:trPr>
                <w:trHeight w:val="147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сероводороду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=1,4)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6E246D" w:rsidRPr="006E246D" w:rsidTr="00C26257">
              <w:trPr>
                <w:trHeight w:val="228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диоксиду серы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=2,7)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</w:tr>
            <w:tr w:rsidR="006E246D" w:rsidRPr="006E246D" w:rsidTr="00C26257">
              <w:trPr>
                <w:trHeight w:val="142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 xml:space="preserve">по изобутану  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=6,0)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35</w:t>
                  </w:r>
                </w:p>
              </w:tc>
            </w:tr>
            <w:tr w:rsidR="006E246D" w:rsidRPr="006E246D" w:rsidTr="00C26257">
              <w:trPr>
                <w:trHeight w:val="60"/>
              </w:trPr>
              <w:tc>
                <w:tcPr>
                  <w:tcW w:w="534" w:type="dxa"/>
                  <w:vMerge/>
                  <w:vAlign w:val="center"/>
                </w:tcPr>
                <w:p w:rsidR="006A1F8B" w:rsidRPr="006E246D" w:rsidRDefault="006A1F8B" w:rsidP="006A1F8B">
                  <w:pPr>
                    <w:snapToGrid w:val="0"/>
                    <w:spacing w:after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gridSpan w:val="2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9"/>
                    </w:numPr>
                    <w:tabs>
                      <w:tab w:val="clear" w:pos="934"/>
                      <w:tab w:val="num" w:pos="688"/>
                    </w:tabs>
                    <w:snapToGrid w:val="0"/>
                    <w:spacing w:after="0" w:line="240" w:lineRule="auto"/>
                    <w:ind w:left="688" w:right="-107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по диметиловому эфиру</w:t>
                  </w:r>
                </w:p>
              </w:tc>
              <w:tc>
                <w:tcPr>
                  <w:tcW w:w="1134" w:type="dxa"/>
                </w:tcPr>
                <w:p w:rsidR="006A1F8B" w:rsidRPr="006E246D" w:rsidRDefault="006A1F8B" w:rsidP="006A1F8B">
                  <w:pPr>
                    <w:snapToGrid w:val="0"/>
                    <w:ind w:left="-108" w:right="-123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(С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>=0,95)</w:t>
                  </w:r>
                </w:p>
              </w:tc>
              <w:tc>
                <w:tcPr>
                  <w:tcW w:w="2889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35</w:t>
                  </w:r>
                </w:p>
              </w:tc>
            </w:tr>
            <w:tr w:rsidR="006E246D" w:rsidRPr="006E246D" w:rsidTr="00C26257">
              <w:trPr>
                <w:trHeight w:val="187"/>
              </w:trPr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Динамическая активность КФП при С</w:t>
                  </w:r>
                  <w:r w:rsidRPr="006E246D">
                    <w:rPr>
                      <w:sz w:val="22"/>
                      <w:szCs w:val="22"/>
                      <w:vertAlign w:val="subscript"/>
                    </w:rPr>
                    <w:t>0</w:t>
                  </w:r>
                  <w:r w:rsidRPr="006E246D">
                    <w:rPr>
                      <w:sz w:val="22"/>
                      <w:szCs w:val="22"/>
                    </w:rPr>
                    <w:t xml:space="preserve"> = (5,0±0,5) мг/дм</w:t>
                  </w:r>
                  <w:r w:rsidRPr="006E246D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6E246D">
                    <w:rPr>
                      <w:sz w:val="22"/>
                      <w:szCs w:val="22"/>
                    </w:rPr>
                    <w:t>, г:</w:t>
                  </w:r>
                </w:p>
                <w:p w:rsidR="006A1F8B" w:rsidRPr="006E246D" w:rsidRDefault="006A1F8B" w:rsidP="006A1F8B">
                  <w:pPr>
                    <w:widowControl/>
                    <w:numPr>
                      <w:ilvl w:val="0"/>
                      <w:numId w:val="9"/>
                    </w:numPr>
                    <w:tabs>
                      <w:tab w:val="clear" w:pos="934"/>
                    </w:tabs>
                    <w:autoSpaceDE/>
                    <w:autoSpaceDN/>
                    <w:adjustRightInd/>
                    <w:snapToGrid w:val="0"/>
                    <w:ind w:left="688" w:hanging="350"/>
                    <w:rPr>
                      <w:bCs/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 xml:space="preserve">по хлорциану </w:t>
                  </w:r>
                  <w:r w:rsidRPr="006E246D">
                    <w:rPr>
                      <w:bCs/>
                      <w:sz w:val="22"/>
                      <w:szCs w:val="22"/>
                    </w:rPr>
                    <w:t xml:space="preserve">(после климатического старения) </w:t>
                  </w:r>
                </w:p>
                <w:p w:rsidR="006A1F8B" w:rsidRPr="006E246D" w:rsidRDefault="006A1F8B" w:rsidP="006A1F8B">
                  <w:pPr>
                    <w:widowControl/>
                    <w:numPr>
                      <w:ilvl w:val="0"/>
                      <w:numId w:val="9"/>
                    </w:numPr>
                    <w:tabs>
                      <w:tab w:val="clear" w:pos="934"/>
                    </w:tabs>
                    <w:autoSpaceDE/>
                    <w:autoSpaceDN/>
                    <w:adjustRightInd/>
                    <w:snapToGrid w:val="0"/>
                    <w:ind w:left="688" w:hanging="350"/>
                    <w:rPr>
                      <w:b/>
                      <w:bCs/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 xml:space="preserve">по синильной кислоте </w:t>
                  </w:r>
                  <w:r w:rsidRPr="006E246D">
                    <w:rPr>
                      <w:bCs/>
                      <w:sz w:val="22"/>
                      <w:szCs w:val="22"/>
                    </w:rPr>
                    <w:t>(после климатического старения)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  <w:bCs/>
                    </w:rPr>
                    <w:t>10</w:t>
                  </w:r>
                </w:p>
              </w:tc>
            </w:tr>
            <w:tr w:rsidR="006E246D" w:rsidRPr="006E246D" w:rsidTr="00C26257">
              <w:trPr>
                <w:trHeight w:val="187"/>
              </w:trPr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</w:tcPr>
                <w:p w:rsidR="006A1F8B" w:rsidRPr="006E246D" w:rsidRDefault="006A1F8B" w:rsidP="006A1F8B">
                  <w:pPr>
                    <w:jc w:val="both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 xml:space="preserve">Коэффициент защиты КФП по парам соединения радионуклида йода – 131, %  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99,99</w:t>
                  </w:r>
                </w:p>
              </w:tc>
            </w:tr>
            <w:tr w:rsidR="006E246D" w:rsidRPr="006E246D" w:rsidTr="00C26257">
              <w:trPr>
                <w:trHeight w:val="218"/>
              </w:trPr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Площадь поля зрения, не менее °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6E246D" w:rsidRPr="006E246D" w:rsidTr="00C26257">
              <w:trPr>
                <w:trHeight w:val="218"/>
              </w:trPr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Температурный диапазон использования, °С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pStyle w:val="1"/>
                    <w:snapToGrid w:val="0"/>
                    <w:spacing w:after="0" w:line="240" w:lineRule="auto"/>
                    <w:ind w:left="-28" w:right="-35"/>
                    <w:jc w:val="center"/>
                    <w:rPr>
                      <w:rFonts w:ascii="Times New Roman" w:hAnsi="Times New Roman" w:cs="Times New Roman"/>
                    </w:rPr>
                  </w:pPr>
                  <w:r w:rsidRPr="006E246D">
                    <w:rPr>
                      <w:rFonts w:ascii="Times New Roman" w:hAnsi="Times New Roman" w:cs="Times New Roman"/>
                    </w:rPr>
                    <w:t xml:space="preserve">от -40 до +40 </w:t>
                  </w:r>
                </w:p>
              </w:tc>
            </w:tr>
            <w:tr w:rsidR="006E246D" w:rsidRPr="006E246D" w:rsidTr="00C26257">
              <w:trPr>
                <w:trHeight w:val="218"/>
              </w:trPr>
              <w:tc>
                <w:tcPr>
                  <w:tcW w:w="534" w:type="dxa"/>
                  <w:vAlign w:val="center"/>
                </w:tcPr>
                <w:p w:rsidR="006A1F8B" w:rsidRPr="006E246D" w:rsidRDefault="006A1F8B" w:rsidP="006A1F8B">
                  <w:pPr>
                    <w:pStyle w:val="1"/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9" w:type="dxa"/>
                </w:tcPr>
                <w:p w:rsidR="006A1F8B" w:rsidRPr="006E246D" w:rsidRDefault="006A1F8B" w:rsidP="006A1F8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Масса противогаза гражданского (в сборе, без сумки), не более, г</w:t>
                  </w:r>
                </w:p>
              </w:tc>
              <w:tc>
                <w:tcPr>
                  <w:tcW w:w="4874" w:type="dxa"/>
                  <w:gridSpan w:val="3"/>
                  <w:vAlign w:val="center"/>
                </w:tcPr>
                <w:p w:rsidR="006A1F8B" w:rsidRPr="006E246D" w:rsidRDefault="006A1F8B" w:rsidP="006A1F8B">
                  <w:pPr>
                    <w:snapToGrid w:val="0"/>
                    <w:ind w:left="-28" w:right="-35"/>
                    <w:jc w:val="center"/>
                    <w:rPr>
                      <w:sz w:val="22"/>
                      <w:szCs w:val="22"/>
                    </w:rPr>
                  </w:pPr>
                  <w:r w:rsidRPr="006E246D">
                    <w:rPr>
                      <w:sz w:val="22"/>
                      <w:szCs w:val="22"/>
                    </w:rPr>
                    <w:t>1000</w:t>
                  </w:r>
                </w:p>
              </w:tc>
            </w:tr>
          </w:tbl>
          <w:p w:rsidR="006A1F8B" w:rsidRPr="006E246D" w:rsidRDefault="006A1F8B" w:rsidP="006A1F8B">
            <w:pPr>
              <w:ind w:firstLine="709"/>
              <w:rPr>
                <w:sz w:val="22"/>
                <w:szCs w:val="22"/>
              </w:rPr>
            </w:pPr>
          </w:p>
          <w:p w:rsidR="006A1F8B" w:rsidRPr="006E246D" w:rsidRDefault="006A1F8B" w:rsidP="006A1F8B">
            <w:pPr>
              <w:spacing w:line="276" w:lineRule="auto"/>
              <w:ind w:right="140" w:firstLine="284"/>
              <w:rPr>
                <w:b/>
                <w:bCs/>
                <w:szCs w:val="22"/>
              </w:rPr>
            </w:pPr>
            <w:r w:rsidRPr="006E246D">
              <w:rPr>
                <w:b/>
                <w:bCs/>
                <w:szCs w:val="22"/>
              </w:rPr>
              <w:t>Конструктивные требования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b/>
                <w:bCs/>
                <w:szCs w:val="22"/>
              </w:rPr>
            </w:pPr>
            <w:r w:rsidRPr="006E246D">
              <w:rPr>
                <w:szCs w:val="22"/>
              </w:rPr>
              <w:t>Лицевая часть противогаза гражданского должна состоять из корпуса лицевой части (маски объемного типа) с «независимым» обтюратором, отформованным за одно целое с корпусом маски, очкового узла</w:t>
            </w:r>
            <w:r w:rsidRPr="006E246D">
              <w:rPr>
                <w:spacing w:val="-6"/>
                <w:szCs w:val="22"/>
              </w:rPr>
              <w:t xml:space="preserve"> с</w:t>
            </w:r>
            <w:r w:rsidRPr="006E246D">
              <w:rPr>
                <w:szCs w:val="22"/>
              </w:rPr>
              <w:t>о стеклами трапециевидной формы, переговорного устройства, узлов клапана вдоха и выдоха, обтекателя, оголовья.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Лицевая часть должна иметь пятиточечное соединение с лямками оголовья. Крепление и оголовье должны обеспечивать герметизацию маски к лицу человека способом самозатягивания. Лицевая часть должна быть упакована в полиэтиленовый пакет.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lastRenderedPageBreak/>
              <w:t>Лицевые части противогазов гражданских должны быть уложены в каждый ящик в следующем ростовочном ассортименте: 1 рост – 4 штуки; 2 рост – 8 штук; 3 рост – 8 штук.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b/>
                <w:bCs/>
                <w:szCs w:val="22"/>
              </w:rPr>
            </w:pPr>
            <w:r w:rsidRPr="006E246D">
              <w:rPr>
                <w:szCs w:val="22"/>
              </w:rPr>
              <w:t>Корпус коробки фильтрующе-поглощающей должен быть изготовлен из ударопрочного и термостойкого пластика. КФП должна быть упакована вакуумным способом.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b/>
                <w:bCs/>
                <w:szCs w:val="22"/>
              </w:rPr>
            </w:pP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rPr>
                <w:b/>
                <w:bCs/>
                <w:szCs w:val="22"/>
              </w:rPr>
            </w:pPr>
            <w:r w:rsidRPr="006E246D">
              <w:rPr>
                <w:b/>
                <w:bCs/>
                <w:szCs w:val="22"/>
              </w:rPr>
              <w:t xml:space="preserve">Требования к дате изготовления 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Противогазы гражданские должны быть новыми, не бывшими в пользовании, не восстановленными и не собранными из компонентов, находившихся в эксплуатации.</w:t>
            </w: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 xml:space="preserve">Год выпуска противогазов гражданских - не ранее </w:t>
            </w:r>
            <w:r w:rsidRPr="006E246D">
              <w:rPr>
                <w:szCs w:val="22"/>
                <w:lang w:val="en-US"/>
              </w:rPr>
              <w:t>I</w:t>
            </w:r>
            <w:r w:rsidRPr="006E246D">
              <w:rPr>
                <w:szCs w:val="22"/>
              </w:rPr>
              <w:t xml:space="preserve"> квартала 201</w:t>
            </w:r>
            <w:r w:rsidR="009E368F" w:rsidRPr="006E246D">
              <w:rPr>
                <w:szCs w:val="22"/>
              </w:rPr>
              <w:t>5</w:t>
            </w:r>
            <w:r w:rsidRPr="006E246D">
              <w:rPr>
                <w:szCs w:val="22"/>
              </w:rPr>
              <w:t xml:space="preserve"> года.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b/>
                <w:bCs/>
                <w:szCs w:val="22"/>
              </w:rPr>
            </w:pPr>
          </w:p>
          <w:p w:rsidR="006A1F8B" w:rsidRPr="006E246D" w:rsidRDefault="006A1F8B" w:rsidP="006A1F8B">
            <w:pPr>
              <w:spacing w:line="276" w:lineRule="auto"/>
              <w:ind w:right="140" w:firstLine="284"/>
              <w:jc w:val="both"/>
              <w:rPr>
                <w:b/>
                <w:bCs/>
                <w:spacing w:val="-5"/>
                <w:szCs w:val="22"/>
              </w:rPr>
            </w:pPr>
            <w:r w:rsidRPr="006E246D">
              <w:rPr>
                <w:b/>
                <w:bCs/>
                <w:spacing w:val="-5"/>
                <w:szCs w:val="22"/>
              </w:rPr>
              <w:t>Требования к упаковке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Противогазы гражданские должны поставляться в упаковке предприятия-изготовителя (ящики деревянные, по 20 противогазов гражданских в каждом). Каждое тарное место (ящик) должно содержать руководство по эксплуатации противогаза гражданского.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szCs w:val="22"/>
              </w:rPr>
            </w:pPr>
            <w:r w:rsidRPr="006E246D">
              <w:rPr>
                <w:szCs w:val="22"/>
              </w:rPr>
              <w:t>Маркировка ящиков должна соответствовать ГОСТ 14192.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szCs w:val="22"/>
              </w:rPr>
            </w:pP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b/>
                <w:bCs/>
                <w:szCs w:val="22"/>
              </w:rPr>
            </w:pPr>
            <w:r w:rsidRPr="006E246D">
              <w:rPr>
                <w:b/>
                <w:bCs/>
                <w:szCs w:val="22"/>
              </w:rPr>
              <w:t>Требование к гарантии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spacing w:val="-1"/>
                <w:szCs w:val="22"/>
              </w:rPr>
            </w:pPr>
            <w:r w:rsidRPr="006E246D">
              <w:rPr>
                <w:spacing w:val="-1"/>
                <w:szCs w:val="22"/>
              </w:rPr>
              <w:t xml:space="preserve">Гарантийный срок хранения </w:t>
            </w:r>
            <w:r w:rsidRPr="006E246D">
              <w:rPr>
                <w:szCs w:val="22"/>
              </w:rPr>
              <w:t xml:space="preserve">противогазов гражданских </w:t>
            </w:r>
            <w:r w:rsidRPr="006E246D">
              <w:rPr>
                <w:spacing w:val="-1"/>
                <w:szCs w:val="22"/>
              </w:rPr>
              <w:t>должен быть не менее 12,5 лет с даты изготовления.</w:t>
            </w: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spacing w:val="-1"/>
                <w:szCs w:val="22"/>
              </w:rPr>
            </w:pPr>
          </w:p>
          <w:p w:rsidR="006A1F8B" w:rsidRPr="006E246D" w:rsidRDefault="006A1F8B" w:rsidP="006A1F8B">
            <w:pPr>
              <w:shd w:val="clear" w:color="auto" w:fill="FFFFFF"/>
              <w:spacing w:line="276" w:lineRule="auto"/>
              <w:ind w:right="140" w:firstLine="284"/>
              <w:jc w:val="both"/>
              <w:rPr>
                <w:b/>
                <w:spacing w:val="-1"/>
                <w:szCs w:val="22"/>
              </w:rPr>
            </w:pPr>
            <w:r w:rsidRPr="006E246D">
              <w:rPr>
                <w:b/>
                <w:spacing w:val="-1"/>
                <w:szCs w:val="22"/>
              </w:rPr>
              <w:t>Требования к сопроводительной документации</w:t>
            </w:r>
          </w:p>
          <w:p w:rsidR="006A1F8B" w:rsidRPr="006E246D" w:rsidRDefault="006A1F8B" w:rsidP="006A1F8B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6E246D">
              <w:rPr>
                <w:spacing w:val="-1"/>
                <w:szCs w:val="22"/>
              </w:rPr>
              <w:t>Поставляемые противогазы гражданские должны сопровождаться паспортом на партию (оригинал или заверенная копия), заверенными копиями сертификатов соответствия</w:t>
            </w:r>
            <w:r w:rsidR="00C26257" w:rsidRPr="006E246D">
              <w:rPr>
                <w:spacing w:val="-1"/>
                <w:szCs w:val="22"/>
              </w:rPr>
              <w:t>.</w:t>
            </w:r>
            <w:r w:rsidRPr="006E246D">
              <w:rPr>
                <w:spacing w:val="-1"/>
                <w:szCs w:val="22"/>
              </w:rPr>
              <w:t xml:space="preserve">  </w:t>
            </w:r>
          </w:p>
          <w:p w:rsidR="006A1F8B" w:rsidRPr="006E246D" w:rsidRDefault="006A1F8B" w:rsidP="00F64A60">
            <w:pPr>
              <w:rPr>
                <w:rFonts w:eastAsia="Calibri"/>
                <w:lang w:eastAsia="en-US"/>
              </w:rPr>
            </w:pPr>
          </w:p>
          <w:p w:rsidR="006A1F8B" w:rsidRPr="006E246D" w:rsidRDefault="006A1F8B" w:rsidP="00F64A60">
            <w:pPr>
              <w:rPr>
                <w:rFonts w:eastAsia="Calibri"/>
                <w:lang w:eastAsia="en-US"/>
              </w:rPr>
            </w:pPr>
          </w:p>
          <w:p w:rsidR="00AD75BE" w:rsidRPr="006E246D" w:rsidRDefault="00AD75BE" w:rsidP="006A1F8B">
            <w:pPr>
              <w:rPr>
                <w:rFonts w:eastAsia="Calibri"/>
                <w:b/>
                <w:lang w:eastAsia="en-US"/>
              </w:rPr>
            </w:pPr>
            <w:r w:rsidRPr="006E246D">
              <w:rPr>
                <w:rFonts w:eastAsia="Calibri"/>
                <w:lang w:eastAsia="en-US"/>
              </w:rPr>
              <w:t>Размеры:</w:t>
            </w:r>
            <w:r w:rsidRPr="006E246D">
              <w:rPr>
                <w:rFonts w:eastAsia="Calibri"/>
                <w:b/>
                <w:lang w:eastAsia="en-US"/>
              </w:rPr>
              <w:t xml:space="preserve">  </w:t>
            </w:r>
            <w:r w:rsidR="006A1F8B" w:rsidRPr="006E246D">
              <w:rPr>
                <w:rFonts w:eastAsia="Calibri"/>
                <w:b/>
                <w:lang w:eastAsia="en-US"/>
              </w:rPr>
              <w:t>№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6E246D" w:rsidRDefault="00AD75BE" w:rsidP="00F64A60">
            <w:pPr>
              <w:pStyle w:val="ad"/>
              <w:jc w:val="center"/>
              <w:rPr>
                <w:sz w:val="24"/>
                <w:szCs w:val="24"/>
              </w:rPr>
            </w:pPr>
          </w:p>
          <w:p w:rsidR="00AD75BE" w:rsidRPr="006E246D" w:rsidRDefault="00AD75BE" w:rsidP="00F64A60">
            <w:pPr>
              <w:pStyle w:val="ad"/>
              <w:jc w:val="center"/>
              <w:rPr>
                <w:sz w:val="24"/>
                <w:szCs w:val="24"/>
              </w:rPr>
            </w:pPr>
          </w:p>
          <w:p w:rsidR="00AD75BE" w:rsidRPr="006E246D" w:rsidRDefault="006A1F8B" w:rsidP="00F64A60">
            <w:pPr>
              <w:pStyle w:val="ad"/>
              <w:jc w:val="center"/>
              <w:rPr>
                <w:sz w:val="24"/>
                <w:szCs w:val="24"/>
              </w:rPr>
            </w:pPr>
            <w:r w:rsidRPr="006E246D">
              <w:rPr>
                <w:noProof/>
              </w:rPr>
              <w:drawing>
                <wp:inline distT="0" distB="0" distL="0" distR="0" wp14:anchorId="55FAF8E2" wp14:editId="431705B6">
                  <wp:extent cx="1438275" cy="1905000"/>
                  <wp:effectExtent l="0" t="0" r="9525" b="0"/>
                  <wp:docPr id="7" name="Рисунок 7" descr="&amp;Gcy;&amp;rcy;&amp;acy;&amp;zhcy;&amp;dcy;&amp;acy;&amp;ncy;&amp;scy;&amp;kcy;&amp;icy;&amp;jcy; &amp;pcy;&amp;rcy;&amp;ocy;&amp;tcy;&amp;icy;&amp;vcy;&amp;ocy;&amp;gcy;&amp;acy;&amp;zcy; &amp;Gcy;&amp;Pcy;-7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acy;&amp;zhcy;&amp;dcy;&amp;acy;&amp;ncy;&amp;scy;&amp;kcy;&amp;icy;&amp;jcy; &amp;pcy;&amp;rcy;&amp;ocy;&amp;tcy;&amp;icy;&amp;vcy;&amp;ocy;&amp;gcy;&amp;acy;&amp;zcy; &amp;Gcy;&amp;Pcy;-7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AD75BE" w:rsidP="00F64A60">
            <w:pPr>
              <w:pStyle w:val="ad"/>
              <w:jc w:val="center"/>
            </w:pPr>
          </w:p>
          <w:p w:rsidR="00AD75BE" w:rsidRPr="006E246D" w:rsidRDefault="006A1F8B" w:rsidP="00F64A60">
            <w:pPr>
              <w:pStyle w:val="ad"/>
              <w:jc w:val="center"/>
              <w:rPr>
                <w:b/>
              </w:rPr>
            </w:pPr>
            <w:r w:rsidRPr="006E246D">
              <w:rPr>
                <w:b/>
                <w:sz w:val="24"/>
              </w:rPr>
              <w:t>145 шт.</w:t>
            </w:r>
          </w:p>
        </w:tc>
      </w:tr>
      <w:tr w:rsidR="008C29EC" w:rsidRPr="008C29EC" w:rsidTr="006A1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  <w:r w:rsidRPr="008C29EC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6E246D" w:rsidRDefault="00881B28" w:rsidP="00F64A60">
            <w:pPr>
              <w:pStyle w:val="ad"/>
              <w:rPr>
                <w:b/>
                <w:sz w:val="24"/>
                <w:szCs w:val="24"/>
              </w:rPr>
            </w:pPr>
            <w:r w:rsidRPr="006E246D">
              <w:rPr>
                <w:b/>
                <w:bCs/>
              </w:rPr>
              <w:t>Аптечка индивидуальная (АИ-2, АИ-II)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6E246D">
              <w:rPr>
                <w:b/>
                <w:bCs/>
              </w:rPr>
              <w:lastRenderedPageBreak/>
              <w:t>Комплектация аптечки индивидуальной АИ-2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>Противобактериальное средство № 2 (</w:t>
            </w:r>
            <w:hyperlink r:id="rId9" w:tooltip="Сульфадиметоксин" w:history="1">
              <w:r w:rsidRPr="006E246D">
                <w:t>сульфадиметоксин</w:t>
              </w:r>
            </w:hyperlink>
            <w:r w:rsidRPr="006E246D">
              <w:t xml:space="preserve"> 0,2 г.) — 1 удлинённый пенал без окраски на 15 таблеток;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>Радиозащитное средство № 2 (</w:t>
            </w:r>
            <w:hyperlink r:id="rId10" w:tooltip="Йодид калия (лекарственное средство)" w:history="1">
              <w:r w:rsidRPr="006E246D">
                <w:t>калия йодид</w:t>
              </w:r>
            </w:hyperlink>
            <w:r w:rsidRPr="006E246D">
              <w:t xml:space="preserve"> 0,125 г.) — 1 пенал белого цвета на 10 таблеток;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>Противорвотное средство (</w:t>
            </w:r>
            <w:hyperlink r:id="rId11" w:tooltip="Этаперазин" w:history="1">
              <w:r w:rsidRPr="006E246D">
                <w:t>этаперазин</w:t>
              </w:r>
            </w:hyperlink>
            <w:r w:rsidRPr="006E246D">
              <w:t xml:space="preserve"> 0,006 г.) — 1 пенал голубого цвета на 5 таблеток;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>Противобактериальное средство № 1 (</w:t>
            </w:r>
            <w:hyperlink r:id="rId12" w:tooltip="Хлортетрациклин" w:history="1">
              <w:r w:rsidRPr="006E246D">
                <w:t>хлортетрациклин</w:t>
              </w:r>
            </w:hyperlink>
            <w:r w:rsidRPr="006E246D">
              <w:t xml:space="preserve"> 0,006 г.) — 2 пенала без окраски с квадратными корпусами на 5 таблеток каждый;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>Радиозащитное средство № 1 (</w:t>
            </w:r>
            <w:hyperlink r:id="rId13" w:tooltip="Цистамин" w:history="1">
              <w:r w:rsidRPr="006E246D">
                <w:t>цистамин</w:t>
              </w:r>
            </w:hyperlink>
            <w:r w:rsidRPr="006E246D">
              <w:t xml:space="preserve"> 0,2 г.) — 2 пенала малинового цвета на 6 таблеток каждый.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6E246D">
              <w:t xml:space="preserve">Раньше в состав входил препарат </w:t>
            </w:r>
            <w:hyperlink r:id="rId14" w:tooltip="Тарен" w:history="1">
              <w:r w:rsidRPr="006E246D">
                <w:t>тарен</w:t>
              </w:r>
            </w:hyperlink>
            <w:r w:rsidRPr="006E246D">
              <w:t xml:space="preserve">, содержащий вещество </w:t>
            </w:r>
            <w:hyperlink r:id="rId15" w:tooltip="Апрофен" w:history="1">
              <w:r w:rsidRPr="006E246D">
                <w:t>апрофен</w:t>
              </w:r>
            </w:hyperlink>
            <w:r w:rsidRPr="006E246D">
              <w:t xml:space="preserve"> — противоядие от </w:t>
            </w:r>
            <w:hyperlink r:id="rId16" w:tooltip="Фосфорорганические соединения" w:history="1">
              <w:r w:rsidRPr="006E246D">
                <w:t>ФОВ</w:t>
              </w:r>
            </w:hyperlink>
            <w:r w:rsidRPr="006E246D">
              <w:t>.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6E246D">
              <w:t>В аптечках, находящихся на оснащении сотрудников государственных структур, дополнительно находились 2 шприц-тюбика: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 xml:space="preserve">Белый шприц-тюбик содержал </w:t>
            </w:r>
            <w:hyperlink r:id="rId17" w:tooltip="Промедол" w:history="1">
              <w:r w:rsidRPr="006E246D">
                <w:t>промедол</w:t>
              </w:r>
            </w:hyperlink>
            <w:r w:rsidRPr="006E246D">
              <w:t xml:space="preserve">, </w:t>
            </w:r>
            <w:hyperlink r:id="rId18" w:tooltip="Наркотик" w:history="1">
              <w:r w:rsidRPr="006E246D">
                <w:t>наркотический</w:t>
              </w:r>
            </w:hyperlink>
            <w:r w:rsidRPr="006E246D">
              <w:t xml:space="preserve"> </w:t>
            </w:r>
            <w:hyperlink r:id="rId19" w:tooltip="Опиоиды" w:history="1">
              <w:r w:rsidRPr="006E246D">
                <w:t>опиоидный</w:t>
              </w:r>
            </w:hyperlink>
            <w:r w:rsidRPr="006E246D">
              <w:t xml:space="preserve"> </w:t>
            </w:r>
            <w:hyperlink r:id="rId20" w:tooltip="Анальгетик" w:history="1">
              <w:r w:rsidRPr="006E246D">
                <w:t>анальгетик</w:t>
              </w:r>
            </w:hyperlink>
            <w:r w:rsidRPr="006E246D">
              <w:t>;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t xml:space="preserve">Красный шприц-тюбик содержал </w:t>
            </w:r>
            <w:hyperlink r:id="rId21" w:tooltip="Афин" w:history="1">
              <w:r w:rsidRPr="006E246D">
                <w:t>афин</w:t>
              </w:r>
            </w:hyperlink>
            <w:r w:rsidRPr="006E246D">
              <w:t xml:space="preserve"> — </w:t>
            </w:r>
            <w:hyperlink r:id="rId22" w:tooltip="Антидот" w:history="1">
              <w:r w:rsidRPr="006E246D">
                <w:t>антидот</w:t>
              </w:r>
            </w:hyperlink>
            <w:r w:rsidRPr="006E246D">
              <w:t xml:space="preserve">, применяемый в случае </w:t>
            </w:r>
            <w:hyperlink r:id="rId23" w:tooltip="Отравление фосфорорганическими соединениями" w:history="1">
              <w:r w:rsidRPr="006E246D">
                <w:t>поражения фосфороорганическими отравляющими веществами</w:t>
              </w:r>
            </w:hyperlink>
            <w:r w:rsidRPr="006E246D">
              <w:t>.</w:t>
            </w:r>
          </w:p>
          <w:p w:rsidR="00AD75BE" w:rsidRPr="006E246D" w:rsidRDefault="009E368F" w:rsidP="00881B28">
            <w:pPr>
              <w:suppressAutoHyphens/>
              <w:rPr>
                <w:rFonts w:eastAsia="Andale Sans UI"/>
                <w:kern w:val="1"/>
              </w:rPr>
            </w:pPr>
            <w:r w:rsidRPr="006E246D">
              <w:rPr>
                <w:rFonts w:eastAsia="Andale Sans UI"/>
                <w:kern w:val="1"/>
              </w:rPr>
              <w:t>Гарантийный срок хранения 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</w:p>
          <w:p w:rsidR="00AD75BE" w:rsidRPr="008C29EC" w:rsidRDefault="00881B28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972CAA" wp14:editId="06B63440">
                  <wp:extent cx="1914525" cy="14668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</w:p>
          <w:p w:rsidR="00AD75BE" w:rsidRPr="008C29EC" w:rsidRDefault="00AD75BE" w:rsidP="00C26257">
            <w:pPr>
              <w:pStyle w:val="ad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881B28" w:rsidP="00F64A60">
            <w:pPr>
              <w:pStyle w:val="ad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145 шт.</w:t>
            </w:r>
          </w:p>
        </w:tc>
      </w:tr>
      <w:tr w:rsidR="008C29EC" w:rsidRPr="008C29EC" w:rsidTr="006A1F8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  <w:r w:rsidRPr="008C29EC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BE" w:rsidRPr="006E246D" w:rsidRDefault="00AD75BE" w:rsidP="00F64A60">
            <w:pPr>
              <w:pStyle w:val="ad"/>
              <w:rPr>
                <w:b/>
                <w:sz w:val="24"/>
                <w:szCs w:val="24"/>
              </w:rPr>
            </w:pPr>
          </w:p>
          <w:p w:rsidR="00AD75BE" w:rsidRPr="006E246D" w:rsidRDefault="00881B28" w:rsidP="00881B28">
            <w:pPr>
              <w:suppressAutoHyphens/>
            </w:pPr>
            <w:r w:rsidRPr="006E246D">
              <w:t>Индивидуальный противохимический пакет ИПП-11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b/>
                <w:bCs/>
                <w:sz w:val="24"/>
                <w:szCs w:val="24"/>
              </w:rPr>
              <w:t>Индивидуальный противохимический пакет ИПП-11</w:t>
            </w:r>
            <w:r w:rsidRPr="006E246D">
              <w:rPr>
                <w:sz w:val="24"/>
                <w:szCs w:val="24"/>
              </w:rPr>
              <w:t xml:space="preserve"> предназначен для защиты и дегазации открытых участков кожи человека от фосфороорганических ядовитых веществ. Является изделием одноразового использования в интервалах температур от –20 С до +40 С. ИПП представляет собой герметично заваренную оболочку из полимерного материала с вложенными в нее тампонами из нетканного материала, пропитанного по рецептуре «Ланглик». 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6E246D">
              <w:rPr>
                <w:b/>
                <w:bCs/>
              </w:rPr>
              <w:t>Состав рецептуры Ланглик</w:t>
            </w:r>
          </w:p>
          <w:p w:rsidR="00881B28" w:rsidRPr="006E246D" w:rsidRDefault="00EA019C" w:rsidP="00881B2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</w:pPr>
            <w:hyperlink r:id="rId25" w:tooltip="Нитрат лантана(III)" w:history="1">
              <w:r w:rsidR="00881B28" w:rsidRPr="006E246D">
                <w:rPr>
                  <w:u w:val="single"/>
                </w:rPr>
                <w:t>Азотнокислый лантан</w:t>
              </w:r>
            </w:hyperlink>
            <w:r w:rsidR="00881B28" w:rsidRPr="006E246D">
              <w:t xml:space="preserve"> 6-водный 5,6 ±0,5</w:t>
            </w:r>
          </w:p>
          <w:p w:rsidR="00881B28" w:rsidRPr="006E246D" w:rsidRDefault="00EA019C" w:rsidP="00881B2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</w:pPr>
            <w:hyperlink r:id="rId26" w:tooltip="Триэтиленгликоль" w:history="1">
              <w:r w:rsidR="00881B28" w:rsidRPr="006E246D">
                <w:rPr>
                  <w:u w:val="single"/>
                </w:rPr>
                <w:t>Триэтиленгликоль</w:t>
              </w:r>
            </w:hyperlink>
            <w:r w:rsidR="00881B28" w:rsidRPr="006E246D">
              <w:t xml:space="preserve"> 65,5 ±1,5</w:t>
            </w:r>
          </w:p>
          <w:p w:rsidR="00881B28" w:rsidRPr="006E246D" w:rsidRDefault="00EA019C" w:rsidP="00881B2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</w:pPr>
            <w:hyperlink r:id="rId27" w:tooltip="Этилкарбитол" w:history="1">
              <w:r w:rsidR="00881B28" w:rsidRPr="006E246D">
                <w:rPr>
                  <w:u w:val="single"/>
                </w:rPr>
                <w:t>Этилкарбитол</w:t>
              </w:r>
            </w:hyperlink>
            <w:r w:rsidR="00881B28" w:rsidRPr="006E246D">
              <w:t xml:space="preserve"> 25±1</w:t>
            </w:r>
          </w:p>
          <w:p w:rsidR="00881B28" w:rsidRPr="006E246D" w:rsidRDefault="00EA019C" w:rsidP="00881B2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</w:pPr>
            <w:hyperlink r:id="rId28" w:tooltip="Гидроксид натрия" w:history="1">
              <w:r w:rsidR="00881B28" w:rsidRPr="006E246D">
                <w:rPr>
                  <w:u w:val="single"/>
                </w:rPr>
                <w:t>Гидроксид натрия</w:t>
              </w:r>
            </w:hyperlink>
            <w:r w:rsidR="00881B28" w:rsidRPr="006E246D">
              <w:t xml:space="preserve"> 0,8±0,1</w:t>
            </w:r>
          </w:p>
          <w:p w:rsidR="00881B28" w:rsidRPr="006E246D" w:rsidRDefault="00881B28" w:rsidP="00881B2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/>
            </w:pPr>
            <w:r w:rsidRPr="006E246D">
              <w:lastRenderedPageBreak/>
              <w:t>Вода 2,5 ±0,5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 xml:space="preserve">На швах оболочки имеются насечки для быстрого вскрытия пакета. При использовании следует взять пакет левой рукой, правой резким движением вскрыть его по насечке, достать тампон и равномерно обработать им открытые участки кожи (лицо, шею и кисти рук) и прилегающие к ним кромки одежды. 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 xml:space="preserve">Преимущества: быстрота и полнота обработки кожного покрова, возможность дозированного использования, удобство обработки лица под лицевой частью противогаза, удаление части ОВ и продуктов дегазации тампоном; эффективная защита до 6 часов; бактерицидность; заживление мелких ран и порезов; лечение термических и химических ожогов. 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>Средство «ИПП-11» обладает дегазирующей способностью по отношению ко всем известным отравляющим веществам кожно-резорбтивного действия. При этом оно не раздражает кожу, а наоборот, снимает раздражение и болевые ощущения кожи, в том числе и при попадании на кожу веществ типа «CS». Оно эффективно при обработке кожи вокруг ран и безопасно при попадании средства на раны. Средство химически нейтрально по отношению к любым конструкционным материалам и тканям.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>Рецептура «ИПП-11» представляет собой линимент солей редкоземельных элементов в полиоксигликолях.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>При обработке жидкостью может возникнуть ощущение жжения кожи, которое быстро проходит и не влияет на самочувствие и работоспособность.</w:t>
            </w:r>
          </w:p>
          <w:p w:rsidR="00881B28" w:rsidRPr="006E246D" w:rsidRDefault="00881B28" w:rsidP="00881B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246D">
              <w:rPr>
                <w:sz w:val="24"/>
                <w:szCs w:val="24"/>
              </w:rPr>
              <w:t>Гарантийный срок хранения – 5 лет. Масса снаряженного пакета - 36 - 41 г, габариты: длина – 125 - 135 мм, ширина – 85-90 мм.</w:t>
            </w:r>
          </w:p>
          <w:p w:rsidR="00881B28" w:rsidRPr="006E246D" w:rsidRDefault="00881B28" w:rsidP="00881B28">
            <w:pPr>
              <w:suppressAutoHyphens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BE" w:rsidRPr="008C29EC" w:rsidRDefault="00AD75BE" w:rsidP="00F64A60">
            <w:pPr>
              <w:pStyle w:val="ad"/>
              <w:jc w:val="center"/>
              <w:rPr>
                <w:color w:val="FF0000"/>
                <w:sz w:val="24"/>
                <w:szCs w:val="24"/>
              </w:rPr>
            </w:pPr>
          </w:p>
          <w:p w:rsidR="00AD75BE" w:rsidRPr="008C29EC" w:rsidRDefault="00881B28" w:rsidP="00F64A60">
            <w:pPr>
              <w:pStyle w:val="ad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61D18F" wp14:editId="228D0221">
                  <wp:extent cx="2140716" cy="1447800"/>
                  <wp:effectExtent l="0" t="0" r="0" b="0"/>
                  <wp:docPr id="10" name="Рисунок 1" descr="&amp;Pcy;&amp;acy;&amp;kcy;&amp;iecy;&amp;tcy; &amp;icy;&amp;ncy;&amp;dcy;&amp;icy;&amp;vcy;&amp;icy;&amp;dcy;&amp;ucy;&amp;acy;&amp;lcy;&amp;softcy;&amp;ncy;&amp;ycy;&amp;jcy; &amp;pcy;&amp;rcy;&amp;ocy;&amp;tcy;&amp;icy;&amp;vcy;&amp;ocy;&amp;khcy;&amp;icy;&amp;mcy;&amp;icy;&amp;chcy;&amp;iecy;&amp;scy;&amp;kcy;&amp;icy;&amp;jcy; &amp;Icy;&amp;Pcy;&amp;Pcy;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acy;&amp;kcy;&amp;iecy;&amp;tcy; &amp;icy;&amp;ncy;&amp;dcy;&amp;icy;&amp;vcy;&amp;icy;&amp;dcy;&amp;ucy;&amp;acy;&amp;lcy;&amp;softcy;&amp;ncy;&amp;ycy;&amp;jcy; &amp;pcy;&amp;rcy;&amp;ocy;&amp;tcy;&amp;icy;&amp;vcy;&amp;ocy;&amp;khcy;&amp;icy;&amp;mcy;&amp;icy;&amp;chcy;&amp;iecy;&amp;scy;&amp;kcy;&amp;icy;&amp;jcy; &amp;Icy;&amp;Pcy;&amp;Pcy;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162" cy="145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AD75BE" w:rsidP="00F64A60">
            <w:pPr>
              <w:pStyle w:val="ad"/>
              <w:jc w:val="center"/>
              <w:rPr>
                <w:color w:val="FF0000"/>
              </w:rPr>
            </w:pPr>
          </w:p>
          <w:p w:rsidR="00AD75BE" w:rsidRPr="008C29EC" w:rsidRDefault="00881B28" w:rsidP="00F64A60">
            <w:pPr>
              <w:pStyle w:val="ad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145 шт.</w:t>
            </w:r>
          </w:p>
        </w:tc>
      </w:tr>
    </w:tbl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216A7D" w:rsidRPr="006B1740" w:rsidRDefault="00216A7D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72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AD75BE" w:rsidRPr="006B1740" w:rsidRDefault="00AD75BE" w:rsidP="00AD75BE">
      <w:pPr>
        <w:pStyle w:val="ae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536"/>
      </w:tblGrid>
      <w:tr w:rsidR="006B1740" w:rsidRPr="006B1740" w:rsidTr="00216A7D">
        <w:trPr>
          <w:jc w:val="center"/>
        </w:trPr>
        <w:tc>
          <w:tcPr>
            <w:tcW w:w="5103" w:type="dxa"/>
            <w:shd w:val="clear" w:color="auto" w:fill="auto"/>
          </w:tcPr>
          <w:p w:rsidR="00E134BC" w:rsidRPr="006B1740" w:rsidRDefault="00E134BC" w:rsidP="00F64A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B1740">
              <w:rPr>
                <w:rFonts w:eastAsia="Calibri"/>
                <w:b/>
                <w:color w:val="000000" w:themeColor="text1"/>
                <w:sz w:val="22"/>
                <w:szCs w:val="22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E134BC" w:rsidRPr="006B1740" w:rsidRDefault="00E134BC" w:rsidP="00F64A60">
            <w:pPr>
              <w:jc w:val="center"/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134BC" w:rsidRPr="006B1740" w:rsidRDefault="00E134BC" w:rsidP="00F64A60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6B1740">
              <w:rPr>
                <w:rFonts w:eastAsia="Calibri"/>
                <w:b/>
                <w:color w:val="000000" w:themeColor="text1"/>
                <w:sz w:val="22"/>
                <w:szCs w:val="22"/>
              </w:rPr>
              <w:t>Поставщик</w:t>
            </w:r>
          </w:p>
        </w:tc>
      </w:tr>
      <w:tr w:rsidR="00E134BC" w:rsidRPr="006B1740" w:rsidTr="00216A7D">
        <w:trPr>
          <w:trHeight w:val="1749"/>
          <w:jc w:val="center"/>
        </w:trPr>
        <w:tc>
          <w:tcPr>
            <w:tcW w:w="5103" w:type="dxa"/>
            <w:shd w:val="clear" w:color="auto" w:fill="auto"/>
          </w:tcPr>
          <w:p w:rsidR="00E134BC" w:rsidRPr="006B1740" w:rsidRDefault="00E134BC" w:rsidP="00F64A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134BC" w:rsidRPr="006B1740" w:rsidRDefault="00E134BC" w:rsidP="00F64A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B1740">
              <w:rPr>
                <w:rFonts w:eastAsia="Calibri"/>
                <w:color w:val="000000" w:themeColor="text1"/>
                <w:sz w:val="22"/>
                <w:szCs w:val="22"/>
              </w:rPr>
              <w:t>Руководитель</w:t>
            </w:r>
          </w:p>
          <w:p w:rsidR="00E134BC" w:rsidRPr="006B1740" w:rsidRDefault="00E134BC" w:rsidP="00F64A6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134BC" w:rsidRPr="006B1740" w:rsidRDefault="00E134B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B1740">
              <w:rPr>
                <w:rFonts w:eastAsia="Calibri"/>
                <w:color w:val="000000" w:themeColor="text1"/>
                <w:sz w:val="22"/>
                <w:szCs w:val="22"/>
              </w:rPr>
              <w:t xml:space="preserve">_______________________ Н.П. Татаринов </w:t>
            </w:r>
          </w:p>
          <w:p w:rsidR="00E134BC" w:rsidRPr="006B1740" w:rsidRDefault="00E134B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134BC" w:rsidRPr="006B1740" w:rsidRDefault="008C29E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B1740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____</w:t>
            </w:r>
            <w:r w:rsidRPr="006B1740">
              <w:rPr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color w:val="000000" w:themeColor="text1"/>
                <w:sz w:val="22"/>
                <w:szCs w:val="22"/>
              </w:rPr>
              <w:t>____________</w:t>
            </w:r>
            <w:r w:rsidRPr="006B1740">
              <w:rPr>
                <w:color w:val="000000" w:themeColor="text1"/>
                <w:sz w:val="22"/>
                <w:szCs w:val="22"/>
              </w:rPr>
              <w:t xml:space="preserve"> 2016 г.</w:t>
            </w:r>
            <w:r w:rsidR="00E134BC" w:rsidRPr="006B174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E134BC" w:rsidRPr="006B1740" w:rsidRDefault="00E134B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B1740">
              <w:rPr>
                <w:rFonts w:eastAsia="Calibri"/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284" w:type="dxa"/>
            <w:shd w:val="clear" w:color="auto" w:fill="auto"/>
          </w:tcPr>
          <w:p w:rsidR="00E134BC" w:rsidRPr="006B1740" w:rsidRDefault="00E134B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134BC" w:rsidRPr="006B1740" w:rsidRDefault="00E134B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134BC" w:rsidRPr="006E246D" w:rsidRDefault="00E134BC" w:rsidP="00F64A60">
            <w:pPr>
              <w:jc w:val="both"/>
              <w:rPr>
                <w:rFonts w:eastAsia="Calibri"/>
                <w:sz w:val="22"/>
                <w:szCs w:val="22"/>
              </w:rPr>
            </w:pPr>
            <w:r w:rsidRPr="006E246D">
              <w:rPr>
                <w:rFonts w:eastAsia="Calibri"/>
                <w:sz w:val="22"/>
                <w:szCs w:val="22"/>
              </w:rPr>
              <w:t>Директор</w:t>
            </w:r>
          </w:p>
          <w:p w:rsidR="00E134BC" w:rsidRPr="006E246D" w:rsidRDefault="00E134BC" w:rsidP="00F64A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C29EC" w:rsidRPr="006E246D" w:rsidRDefault="00E134BC" w:rsidP="00F64A60">
            <w:pPr>
              <w:jc w:val="both"/>
              <w:rPr>
                <w:sz w:val="22"/>
                <w:szCs w:val="22"/>
              </w:rPr>
            </w:pPr>
            <w:r w:rsidRPr="006E246D">
              <w:rPr>
                <w:sz w:val="22"/>
                <w:szCs w:val="22"/>
              </w:rPr>
              <w:t xml:space="preserve">_______________________/ </w:t>
            </w:r>
            <w:r w:rsidR="008C29EC" w:rsidRPr="006E246D">
              <w:rPr>
                <w:sz w:val="22"/>
                <w:szCs w:val="22"/>
              </w:rPr>
              <w:t>«____» ____________ 2016 г.</w:t>
            </w:r>
          </w:p>
          <w:p w:rsidR="00E134BC" w:rsidRPr="006B1740" w:rsidRDefault="00E134BC" w:rsidP="00F64A60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B1740">
              <w:rPr>
                <w:rFonts w:eastAsia="Calibri"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AD75BE" w:rsidRPr="006B1740" w:rsidRDefault="00AD75BE" w:rsidP="000667DB">
      <w:pPr>
        <w:jc w:val="right"/>
        <w:rPr>
          <w:rFonts w:eastAsia="Calibri"/>
          <w:color w:val="000000" w:themeColor="text1"/>
          <w:sz w:val="22"/>
          <w:szCs w:val="22"/>
        </w:rPr>
      </w:pPr>
    </w:p>
    <w:p w:rsidR="000667DB" w:rsidRPr="006B1740" w:rsidRDefault="000667DB">
      <w:pPr>
        <w:rPr>
          <w:color w:val="000000" w:themeColor="text1"/>
          <w:sz w:val="22"/>
          <w:szCs w:val="22"/>
        </w:rPr>
      </w:pPr>
    </w:p>
    <w:p w:rsidR="00966F7F" w:rsidRPr="006B1740" w:rsidRDefault="00966F7F">
      <w:pPr>
        <w:rPr>
          <w:color w:val="000000" w:themeColor="text1"/>
          <w:sz w:val="22"/>
          <w:szCs w:val="22"/>
        </w:rPr>
      </w:pPr>
    </w:p>
    <w:p w:rsidR="00966F7F" w:rsidRPr="006B1740" w:rsidRDefault="00966F7F">
      <w:pPr>
        <w:rPr>
          <w:color w:val="000000" w:themeColor="text1"/>
          <w:sz w:val="22"/>
          <w:szCs w:val="22"/>
        </w:rPr>
      </w:pPr>
    </w:p>
    <w:p w:rsidR="00966F7F" w:rsidRPr="006B1740" w:rsidRDefault="00966F7F">
      <w:pPr>
        <w:rPr>
          <w:color w:val="000000" w:themeColor="text1"/>
          <w:sz w:val="22"/>
          <w:szCs w:val="22"/>
        </w:rPr>
      </w:pPr>
    </w:p>
    <w:sectPr w:rsidR="00966F7F" w:rsidRPr="006B1740" w:rsidSect="00AD75BE">
      <w:headerReference w:type="default" r:id="rId3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9C" w:rsidRDefault="00EA019C" w:rsidP="003F3664">
      <w:r>
        <w:separator/>
      </w:r>
    </w:p>
  </w:endnote>
  <w:endnote w:type="continuationSeparator" w:id="0">
    <w:p w:rsidR="00EA019C" w:rsidRDefault="00EA019C" w:rsidP="003F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9C" w:rsidRDefault="00EA019C" w:rsidP="003F3664">
      <w:r>
        <w:separator/>
      </w:r>
    </w:p>
  </w:footnote>
  <w:footnote w:type="continuationSeparator" w:id="0">
    <w:p w:rsidR="00EA019C" w:rsidRDefault="00EA019C" w:rsidP="003F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74725"/>
      <w:docPartObj>
        <w:docPartGallery w:val="Page Numbers (Top of Page)"/>
        <w:docPartUnique/>
      </w:docPartObj>
    </w:sdtPr>
    <w:sdtEndPr/>
    <w:sdtContent>
      <w:p w:rsidR="003F3664" w:rsidRDefault="00D92B6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664" w:rsidRDefault="003F36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C3EAA4B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1">
    <w:nsid w:val="02F776E4"/>
    <w:multiLevelType w:val="multilevel"/>
    <w:tmpl w:val="B17A49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03366540"/>
    <w:multiLevelType w:val="singleLevel"/>
    <w:tmpl w:val="426A51E0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6F170E2"/>
    <w:multiLevelType w:val="hybridMultilevel"/>
    <w:tmpl w:val="E97E20BA"/>
    <w:lvl w:ilvl="0" w:tplc="03FE694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9F7EB9"/>
    <w:multiLevelType w:val="hybridMultilevel"/>
    <w:tmpl w:val="FB767C5A"/>
    <w:lvl w:ilvl="0" w:tplc="13F61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370F"/>
    <w:multiLevelType w:val="hybridMultilevel"/>
    <w:tmpl w:val="EED05DBC"/>
    <w:lvl w:ilvl="0" w:tplc="54A0F7BC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6">
    <w:nsid w:val="1E696AF1"/>
    <w:multiLevelType w:val="hybridMultilevel"/>
    <w:tmpl w:val="DFFC582E"/>
    <w:lvl w:ilvl="0" w:tplc="ABAEC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F11F9"/>
    <w:multiLevelType w:val="hybridMultilevel"/>
    <w:tmpl w:val="7AF0EB8E"/>
    <w:lvl w:ilvl="0" w:tplc="6286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302B8"/>
    <w:multiLevelType w:val="multilevel"/>
    <w:tmpl w:val="D40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2261D"/>
    <w:multiLevelType w:val="multilevel"/>
    <w:tmpl w:val="D6AE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C250D"/>
    <w:multiLevelType w:val="multilevel"/>
    <w:tmpl w:val="3D6CE2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1">
    <w:nsid w:val="76114A5D"/>
    <w:multiLevelType w:val="multilevel"/>
    <w:tmpl w:val="3FE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44BEA"/>
    <w:multiLevelType w:val="singleLevel"/>
    <w:tmpl w:val="0EB8E69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61"/>
    <w:rsid w:val="00007FD3"/>
    <w:rsid w:val="00013590"/>
    <w:rsid w:val="000667DB"/>
    <w:rsid w:val="00086EE0"/>
    <w:rsid w:val="000C49BA"/>
    <w:rsid w:val="000E7940"/>
    <w:rsid w:val="00190ECF"/>
    <w:rsid w:val="00195931"/>
    <w:rsid w:val="001B6195"/>
    <w:rsid w:val="001C3213"/>
    <w:rsid w:val="001D0BDB"/>
    <w:rsid w:val="001D6F29"/>
    <w:rsid w:val="00216A7D"/>
    <w:rsid w:val="0023573E"/>
    <w:rsid w:val="002972FF"/>
    <w:rsid w:val="002F4CD4"/>
    <w:rsid w:val="00304684"/>
    <w:rsid w:val="0031633F"/>
    <w:rsid w:val="003A44BB"/>
    <w:rsid w:val="003C521C"/>
    <w:rsid w:val="003F3664"/>
    <w:rsid w:val="00410BC3"/>
    <w:rsid w:val="00426DE3"/>
    <w:rsid w:val="0043668E"/>
    <w:rsid w:val="00464599"/>
    <w:rsid w:val="004A4A2C"/>
    <w:rsid w:val="004C1FE1"/>
    <w:rsid w:val="004C7BBD"/>
    <w:rsid w:val="004D1417"/>
    <w:rsid w:val="004E1B60"/>
    <w:rsid w:val="004E497A"/>
    <w:rsid w:val="00502763"/>
    <w:rsid w:val="00552C06"/>
    <w:rsid w:val="00587162"/>
    <w:rsid w:val="00604838"/>
    <w:rsid w:val="00607FCA"/>
    <w:rsid w:val="0067283C"/>
    <w:rsid w:val="006A1F8B"/>
    <w:rsid w:val="006B1740"/>
    <w:rsid w:val="006E246D"/>
    <w:rsid w:val="00720D37"/>
    <w:rsid w:val="0072251D"/>
    <w:rsid w:val="007312DF"/>
    <w:rsid w:val="00735A31"/>
    <w:rsid w:val="007820C3"/>
    <w:rsid w:val="00794985"/>
    <w:rsid w:val="007C39E8"/>
    <w:rsid w:val="007D2A18"/>
    <w:rsid w:val="00837686"/>
    <w:rsid w:val="00846F67"/>
    <w:rsid w:val="00881B28"/>
    <w:rsid w:val="0089616C"/>
    <w:rsid w:val="008C29EC"/>
    <w:rsid w:val="008E0A34"/>
    <w:rsid w:val="008F5BDD"/>
    <w:rsid w:val="00942372"/>
    <w:rsid w:val="00966F7F"/>
    <w:rsid w:val="00990BB6"/>
    <w:rsid w:val="009E368F"/>
    <w:rsid w:val="009F4A67"/>
    <w:rsid w:val="00A35C30"/>
    <w:rsid w:val="00A64E8D"/>
    <w:rsid w:val="00A7266F"/>
    <w:rsid w:val="00A765D5"/>
    <w:rsid w:val="00AB5D7F"/>
    <w:rsid w:val="00AD75BE"/>
    <w:rsid w:val="00AE4FA9"/>
    <w:rsid w:val="00AF2F61"/>
    <w:rsid w:val="00B1497B"/>
    <w:rsid w:val="00B3340C"/>
    <w:rsid w:val="00B33913"/>
    <w:rsid w:val="00B711F2"/>
    <w:rsid w:val="00BA0998"/>
    <w:rsid w:val="00BC4370"/>
    <w:rsid w:val="00BE0D3A"/>
    <w:rsid w:val="00C26257"/>
    <w:rsid w:val="00CB4388"/>
    <w:rsid w:val="00CC18F1"/>
    <w:rsid w:val="00D82EDE"/>
    <w:rsid w:val="00D92B6B"/>
    <w:rsid w:val="00D97432"/>
    <w:rsid w:val="00DF1601"/>
    <w:rsid w:val="00E07232"/>
    <w:rsid w:val="00E134BC"/>
    <w:rsid w:val="00E207B8"/>
    <w:rsid w:val="00EA019C"/>
    <w:rsid w:val="00EC3CA5"/>
    <w:rsid w:val="00ED1EEF"/>
    <w:rsid w:val="00EE0CCA"/>
    <w:rsid w:val="00EE48C6"/>
    <w:rsid w:val="00EE5D76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9A7E-4599-4CC6-812B-5ED0DD52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4,Знак4"/>
    <w:basedOn w:val="a"/>
    <w:link w:val="a4"/>
    <w:qFormat/>
    <w:rsid w:val="00AF2F61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aliases w:val=" Знак4 Знак,Знак4 Знак"/>
    <w:basedOn w:val="a0"/>
    <w:link w:val="a3"/>
    <w:rsid w:val="00AF2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F2F61"/>
    <w:pPr>
      <w:widowControl/>
      <w:suppressAutoHyphens/>
      <w:autoSpaceDE/>
      <w:autoSpaceDN/>
      <w:adjustRightInd/>
      <w:spacing w:before="187" w:after="187"/>
      <w:ind w:left="187" w:right="187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3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D141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1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0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овка"/>
    <w:basedOn w:val="a"/>
    <w:rsid w:val="00AD75BE"/>
    <w:pPr>
      <w:widowControl/>
      <w:suppressAutoHyphens/>
      <w:autoSpaceDE/>
      <w:autoSpaceDN/>
      <w:adjustRightInd/>
      <w:ind w:firstLine="567"/>
      <w:jc w:val="both"/>
    </w:pPr>
    <w:rPr>
      <w:rFonts w:ascii="Arial" w:hAnsi="Arial"/>
      <w:sz w:val="18"/>
    </w:rPr>
  </w:style>
  <w:style w:type="character" w:styleId="af">
    <w:name w:val="Hyperlink"/>
    <w:basedOn w:val="a0"/>
    <w:uiPriority w:val="99"/>
    <w:semiHidden/>
    <w:unhideWhenUsed/>
    <w:rsid w:val="00AD75BE"/>
    <w:rPr>
      <w:color w:val="0000FF"/>
      <w:u w:val="single"/>
    </w:rPr>
  </w:style>
  <w:style w:type="paragraph" w:customStyle="1" w:styleId="txt">
    <w:name w:val="txt"/>
    <w:basedOn w:val="a"/>
    <w:rsid w:val="006A1F8B"/>
    <w:pPr>
      <w:widowControl/>
      <w:autoSpaceDE/>
      <w:autoSpaceDN/>
      <w:adjustRightInd/>
      <w:spacing w:line="320" w:lineRule="atLeast"/>
      <w:ind w:firstLine="300"/>
    </w:pPr>
    <w:rPr>
      <w:rFonts w:ascii="Verdana" w:hAnsi="Verdana" w:cs="Verdana"/>
      <w:color w:val="004C6C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6A1F8B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6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6%D0%B8%D1%81%D1%82%D0%B0%D0%BC%D0%B8%D0%BD" TargetMode="External"/><Relationship Id="rId18" Type="http://schemas.openxmlformats.org/officeDocument/2006/relationships/hyperlink" Target="https://ru.wikipedia.org/wiki/%D0%9D%D0%B0%D1%80%D0%BA%D0%BE%D1%82%D0%B8%D0%BA" TargetMode="External"/><Relationship Id="rId26" Type="http://schemas.openxmlformats.org/officeDocument/2006/relationships/hyperlink" Target="https://ru.wikipedia.org/wiki/%D0%A2%D1%80%D0%B8%D1%8D%D1%82%D0%B8%D0%BB%D0%B5%D0%BD%D0%B3%D0%BB%D0%B8%D0%BA%D0%BE%D0%BB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1%84%D0%B8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B%D0%BE%D1%80%D1%82%D0%B5%D1%82%D1%80%D0%B0%D1%86%D0%B8%D0%BA%D0%BB%D0%B8%D0%BD" TargetMode="External"/><Relationship Id="rId17" Type="http://schemas.openxmlformats.org/officeDocument/2006/relationships/hyperlink" Target="https://ru.wikipedia.org/wiki/%D0%9F%D1%80%D0%BE%D0%BC%D0%B5%D0%B4%D0%BE%D0%BB" TargetMode="External"/><Relationship Id="rId25" Type="http://schemas.openxmlformats.org/officeDocument/2006/relationships/hyperlink" Target="https://ru.wikipedia.org/wiki/%D0%9D%D0%B8%D1%82%D1%80%D0%B0%D1%82_%D0%BB%D0%B0%D0%BD%D1%82%D0%B0%D0%BD%D0%B0%28III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E%D1%81%D1%84%D0%BE%D1%80%D0%BE%D1%80%D0%B3%D0%B0%D0%BD%D0%B8%D1%87%D0%B5%D1%81%D0%BA%D0%B8%D0%B5_%D1%81%D0%BE%D0%B5%D0%B4%D0%B8%D0%BD%D0%B5%D0%BD%D0%B8%D1%8F" TargetMode="External"/><Relationship Id="rId20" Type="http://schemas.openxmlformats.org/officeDocument/2006/relationships/hyperlink" Target="https://ru.wikipedia.org/wiki/%D0%90%D0%BD%D0%B0%D0%BB%D1%8C%D0%B3%D0%B5%D1%82%D0%B8%D0%BA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1%82%D0%B0%D0%BF%D0%B5%D1%80%D0%B0%D0%B7%D0%B8%D0%BD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F%D1%80%D0%BE%D1%84%D0%B5%D0%BD" TargetMode="External"/><Relationship Id="rId23" Type="http://schemas.openxmlformats.org/officeDocument/2006/relationships/hyperlink" Target="https://ru.wikipedia.org/wiki/%D0%9E%D1%82%D1%80%D0%B0%D0%B2%D0%BB%D0%B5%D0%BD%D0%B8%D0%B5_%D1%84%D0%BE%D1%81%D1%84%D0%BE%D1%80%D0%BE%D1%80%D0%B3%D0%B0%D0%BD%D0%B8%D1%87%D0%B5%D1%81%D0%BA%D0%B8%D0%BC%D0%B8_%D1%81%D0%BE%D0%B5%D0%B4%D0%B8%D0%BD%D0%B5%D0%BD%D0%B8%D1%8F%D0%BC%D0%B8" TargetMode="External"/><Relationship Id="rId28" Type="http://schemas.openxmlformats.org/officeDocument/2006/relationships/hyperlink" Target="https://ru.wikipedia.org/wiki/%D0%93%D0%B8%D0%B4%D1%80%D0%BE%D0%BA%D1%81%D0%B8%D0%B4_%D0%BD%D0%B0%D1%82%D1%80%D0%B8%D1%8F" TargetMode="External"/><Relationship Id="rId10" Type="http://schemas.openxmlformats.org/officeDocument/2006/relationships/hyperlink" Target="https://ru.wikipedia.org/wiki/%D0%99%D0%BE%D0%B4%D0%B8%D0%B4_%D0%BA%D0%B0%D0%BB%D0%B8%D1%8F_%28%D0%BB%D0%B5%D0%BA%D0%B0%D1%80%D1%81%D1%82%D0%B2%D0%B5%D0%BD%D0%BD%D0%BE%D0%B5_%D1%81%D1%80%D0%B5%D0%B4%D1%81%D1%82%D0%B2%D0%BE%29" TargetMode="External"/><Relationship Id="rId19" Type="http://schemas.openxmlformats.org/officeDocument/2006/relationships/hyperlink" Target="https://ru.wikipedia.org/wiki/%D0%9E%D0%BF%D0%B8%D0%BE%D0%B8%D0%B4%D1%8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0%BB%D1%8C%D1%84%D0%B0%D0%B4%D0%B8%D0%BC%D0%B5%D1%82%D0%BE%D0%BA%D1%81%D0%B8%D0%BD" TargetMode="External"/><Relationship Id="rId14" Type="http://schemas.openxmlformats.org/officeDocument/2006/relationships/hyperlink" Target="https://ru.wikipedia.org/wiki/%D0%A2%D0%B0%D1%80%D0%B5%D0%BD" TargetMode="External"/><Relationship Id="rId22" Type="http://schemas.openxmlformats.org/officeDocument/2006/relationships/hyperlink" Target="https://ru.wikipedia.org/wiki/%D0%90%D0%BD%D1%82%D0%B8%D0%B4%D0%BE%D1%82" TargetMode="External"/><Relationship Id="rId27" Type="http://schemas.openxmlformats.org/officeDocument/2006/relationships/hyperlink" Target="https://ru.wikipedia.org/wiki/%D0%AD%D1%82%D0%B8%D0%BB%D0%BA%D0%B0%D1%80%D0%B1%D0%B8%D1%82%D0%BE%D0%BB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3556-FA96-46F0-B499-0160BE12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Татьяна Ивановна Кондратенко</cp:lastModifiedBy>
  <cp:revision>55</cp:revision>
  <cp:lastPrinted>2015-08-10T00:51:00Z</cp:lastPrinted>
  <dcterms:created xsi:type="dcterms:W3CDTF">2014-03-19T01:47:00Z</dcterms:created>
  <dcterms:modified xsi:type="dcterms:W3CDTF">2016-05-25T02:22:00Z</dcterms:modified>
</cp:coreProperties>
</file>